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385" w:rsidRPr="001A2385" w:rsidRDefault="001A2385" w:rsidP="00E73B6A">
      <w:pPr>
        <w:jc w:val="center"/>
        <w:rPr>
          <w:rFonts w:ascii="Castellar" w:hAnsi="Castellar" w:cs="Gisha"/>
          <w:color w:val="632423" w:themeColor="accent2" w:themeShade="80"/>
          <w:sz w:val="96"/>
          <w:szCs w:val="24"/>
        </w:rPr>
      </w:pPr>
      <w:r w:rsidRPr="001A2385">
        <w:rPr>
          <w:rFonts w:ascii="Castellar" w:hAnsi="Castellar" w:cs="Gisha"/>
          <w:color w:val="632423" w:themeColor="accent2" w:themeShade="80"/>
          <w:sz w:val="96"/>
          <w:szCs w:val="24"/>
        </w:rPr>
        <w:t>Power and Size:</w:t>
      </w:r>
    </w:p>
    <w:p w:rsidR="00825099" w:rsidRPr="0055406B" w:rsidRDefault="003D15C7" w:rsidP="00E73B6A">
      <w:pPr>
        <w:jc w:val="center"/>
        <w:rPr>
          <w:rFonts w:ascii="Castellar" w:hAnsi="Castellar" w:cs="Gisha"/>
          <w:color w:val="632423" w:themeColor="accent2" w:themeShade="80"/>
          <w:sz w:val="36"/>
          <w:szCs w:val="24"/>
        </w:rPr>
      </w:pPr>
      <w:r w:rsidRPr="0055406B">
        <w:rPr>
          <w:rFonts w:ascii="Castellar" w:hAnsi="Castellar" w:cs="Gisha"/>
          <w:noProof/>
          <w:color w:val="632423" w:themeColor="accent2" w:themeShade="80"/>
          <w:sz w:val="36"/>
          <w:szCs w:val="24"/>
          <w:lang w:eastAsia="en-US"/>
        </w:rPr>
        <mc:AlternateContent>
          <mc:Choice Requires="wps">
            <w:drawing>
              <wp:anchor distT="0" distB="0" distL="114300" distR="114300" simplePos="0" relativeHeight="251660288" behindDoc="0" locked="0" layoutInCell="1" allowOverlap="1" wp14:anchorId="4BC92EF1" wp14:editId="001AB004">
                <wp:simplePos x="0" y="0"/>
                <wp:positionH relativeFrom="column">
                  <wp:posOffset>74691</wp:posOffset>
                </wp:positionH>
                <wp:positionV relativeFrom="paragraph">
                  <wp:posOffset>912401</wp:posOffset>
                </wp:positionV>
                <wp:extent cx="1222218" cy="1403985"/>
                <wp:effectExtent l="0" t="0" r="1651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218" cy="1403985"/>
                        </a:xfrm>
                        <a:prstGeom prst="rect">
                          <a:avLst/>
                        </a:prstGeom>
                        <a:solidFill>
                          <a:srgbClr val="FFFFFF"/>
                        </a:solidFill>
                        <a:ln w="9525">
                          <a:solidFill>
                            <a:srgbClr val="000000"/>
                          </a:solidFill>
                          <a:miter lim="800000"/>
                          <a:headEnd/>
                          <a:tailEnd/>
                        </a:ln>
                      </wps:spPr>
                      <wps:txbx>
                        <w:txbxContent>
                          <w:p w:rsidR="00B10D9A" w:rsidRDefault="00B10D9A">
                            <w:r>
                              <w:rPr>
                                <w:rFonts w:ascii="Courier New" w:hAnsi="Courier New" w:cs="Courier New"/>
                                <w:color w:val="6B6B6B"/>
                                <w:sz w:val="18"/>
                                <w:szCs w:val="18"/>
                                <w:shd w:val="clear" w:color="auto" w:fill="F0F0F0"/>
                              </w:rPr>
                              <w:t>M</w:t>
                            </w:r>
                            <w:r w:rsidRPr="00990A61">
                              <w:rPr>
                                <w:rFonts w:ascii="Courier New" w:hAnsi="Courier New" w:cs="Courier New"/>
                                <w:color w:val="6B6B6B"/>
                                <w:sz w:val="18"/>
                                <w:szCs w:val="18"/>
                                <w:shd w:val="clear" w:color="auto" w:fill="F0F0F0"/>
                              </w:rPr>
                              <w:t>a</w:t>
                            </w:r>
                            <w:r>
                              <w:rPr>
                                <w:rFonts w:ascii="Courier New" w:hAnsi="Courier New" w:cs="Courier New"/>
                                <w:color w:val="6B6B6B"/>
                                <w:sz w:val="18"/>
                                <w:szCs w:val="18"/>
                                <w:shd w:val="clear" w:color="auto" w:fill="F0F0F0"/>
                              </w:rPr>
                              <w:t>p of Hangzhou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pt;margin-top:71.85pt;width:96.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">
                <v:textbox style="mso-fit-shape-to-text:t">
                  <w:txbxContent>
                    <w:p w:rsidR="00B10D9A" w:rsidRDefault="00B10D9A">
                      <w:r>
                        <w:rPr>
                          <w:rFonts w:ascii="Courier New" w:hAnsi="Courier New" w:cs="Courier New"/>
                          <w:color w:val="6B6B6B"/>
                          <w:sz w:val="18"/>
                          <w:szCs w:val="18"/>
                          <w:shd w:val="clear" w:color="auto" w:fill="F0F0F0"/>
                        </w:rPr>
                        <w:t>M</w:t>
                      </w:r>
                      <w:r w:rsidRPr="00990A61">
                        <w:rPr>
                          <w:rFonts w:ascii="Courier New" w:hAnsi="Courier New" w:cs="Courier New"/>
                          <w:color w:val="6B6B6B"/>
                          <w:sz w:val="18"/>
                          <w:szCs w:val="18"/>
                          <w:shd w:val="clear" w:color="auto" w:fill="F0F0F0"/>
                        </w:rPr>
                        <w:t>a</w:t>
                      </w:r>
                      <w:r>
                        <w:rPr>
                          <w:rFonts w:ascii="Courier New" w:hAnsi="Courier New" w:cs="Courier New"/>
                          <w:color w:val="6B6B6B"/>
                          <w:sz w:val="18"/>
                          <w:szCs w:val="18"/>
                          <w:shd w:val="clear" w:color="auto" w:fill="F0F0F0"/>
                        </w:rPr>
                        <w:t>p of Hangzhou</w:t>
                      </w:r>
                    </w:p>
                  </w:txbxContent>
                </v:textbox>
              </v:shape>
            </w:pict>
          </mc:Fallback>
        </mc:AlternateContent>
      </w:r>
      <w:r w:rsidR="00825099" w:rsidRPr="0055406B">
        <w:rPr>
          <w:rFonts w:ascii="Castellar" w:hAnsi="Castellar" w:cs="Gisha"/>
          <w:color w:val="632423" w:themeColor="accent2" w:themeShade="80"/>
          <w:sz w:val="36"/>
          <w:szCs w:val="24"/>
        </w:rPr>
        <w:t xml:space="preserve">Urban and Polity Size Swings and changes in the </w:t>
      </w:r>
      <w:r w:rsidR="004F110F" w:rsidRPr="0055406B">
        <w:rPr>
          <w:rFonts w:ascii="Castellar" w:hAnsi="Castellar" w:cs="Gisha"/>
          <w:color w:val="632423" w:themeColor="accent2" w:themeShade="80"/>
          <w:sz w:val="36"/>
          <w:szCs w:val="24"/>
        </w:rPr>
        <w:t xml:space="preserve">distribution of power among states in </w:t>
      </w:r>
      <w:r w:rsidR="00825099" w:rsidRPr="0055406B">
        <w:rPr>
          <w:rFonts w:ascii="Castellar" w:hAnsi="Castellar" w:cs="Gisha"/>
          <w:color w:val="632423" w:themeColor="accent2" w:themeShade="80"/>
          <w:sz w:val="36"/>
          <w:szCs w:val="24"/>
        </w:rPr>
        <w:t>interstate systems since the bronze Age</w:t>
      </w:r>
    </w:p>
    <w:p w:rsidR="00990A61" w:rsidRPr="00990A61" w:rsidRDefault="003D15C7" w:rsidP="003D15C7">
      <w:pPr>
        <w:rPr>
          <w:rFonts w:ascii="Courier New" w:hAnsi="Courier New" w:cs="Courier New"/>
          <w:sz w:val="16"/>
          <w:szCs w:val="16"/>
        </w:rPr>
      </w:pPr>
      <w:r>
        <w:rPr>
          <w:noProof/>
          <w:lang w:eastAsia="en-US"/>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3630168" cy="4873752"/>
            <wp:effectExtent l="0" t="0" r="8890" b="3175"/>
            <wp:wrapTight wrapText="right">
              <wp:wrapPolygon edited="0">
                <wp:start x="0" y="0"/>
                <wp:lineTo x="0" y="21530"/>
                <wp:lineTo x="21540" y="21530"/>
                <wp:lineTo x="21540" y="0"/>
                <wp:lineTo x="0" y="0"/>
              </wp:wrapPolygon>
            </wp:wrapTight>
            <wp:docPr id="6" name="Picture 6" descr="http://de2d2g2qlnqhe.cloudfront.net/content/ucpjsah/75/2/182/F13.large.jpg?width=800&amp;height=600&amp;carous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2d2g2qlnqhe.cloudfront.net/content/ucpjsah/75/2/182/F13.large.jpg?width=800&amp;height=600&amp;carouse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0168" cy="48737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406B" w:rsidRDefault="0055406B" w:rsidP="00E73B6A">
      <w:pPr>
        <w:jc w:val="center"/>
        <w:rPr>
          <w:rFonts w:ascii="Bookman Old Style" w:hAnsi="Bookman Old Style" w:cs="Gisha"/>
          <w:sz w:val="32"/>
          <w:szCs w:val="24"/>
        </w:rPr>
      </w:pPr>
    </w:p>
    <w:p w:rsidR="0055406B" w:rsidRDefault="0055406B" w:rsidP="00E73B6A">
      <w:pPr>
        <w:jc w:val="center"/>
        <w:rPr>
          <w:rFonts w:ascii="Bookman Old Style" w:hAnsi="Bookman Old Style" w:cs="Gisha"/>
          <w:sz w:val="32"/>
          <w:szCs w:val="24"/>
        </w:rPr>
      </w:pPr>
    </w:p>
    <w:p w:rsidR="0055406B" w:rsidRDefault="0055406B" w:rsidP="00E73B6A">
      <w:pPr>
        <w:jc w:val="center"/>
        <w:rPr>
          <w:rFonts w:ascii="Bookman Old Style" w:hAnsi="Bookman Old Style" w:cs="Gisha"/>
          <w:sz w:val="32"/>
          <w:szCs w:val="24"/>
        </w:rPr>
      </w:pPr>
    </w:p>
    <w:p w:rsidR="0055406B" w:rsidRDefault="0055406B" w:rsidP="00E73B6A">
      <w:pPr>
        <w:jc w:val="center"/>
        <w:rPr>
          <w:rFonts w:ascii="Bookman Old Style" w:hAnsi="Bookman Old Style" w:cs="Gisha"/>
          <w:sz w:val="32"/>
          <w:szCs w:val="24"/>
        </w:rPr>
      </w:pPr>
    </w:p>
    <w:p w:rsidR="0055406B" w:rsidRDefault="0055406B" w:rsidP="00E73B6A">
      <w:pPr>
        <w:jc w:val="center"/>
        <w:rPr>
          <w:rFonts w:ascii="Bookman Old Style" w:hAnsi="Bookman Old Style" w:cs="Gisha"/>
          <w:sz w:val="32"/>
          <w:szCs w:val="24"/>
        </w:rPr>
      </w:pPr>
    </w:p>
    <w:p w:rsidR="0021371A" w:rsidRPr="00D931BC" w:rsidRDefault="0021371A" w:rsidP="00E73B6A">
      <w:pPr>
        <w:jc w:val="center"/>
        <w:rPr>
          <w:rFonts w:ascii="Bookman Old Style" w:hAnsi="Bookman Old Style" w:cs="Gisha"/>
          <w:sz w:val="32"/>
          <w:szCs w:val="24"/>
        </w:rPr>
      </w:pPr>
      <w:r w:rsidRPr="00D931BC">
        <w:rPr>
          <w:rFonts w:ascii="Bookman Old Style" w:hAnsi="Bookman Old Style" w:cs="Gisha"/>
          <w:sz w:val="32"/>
          <w:szCs w:val="24"/>
        </w:rPr>
        <w:t>Christopher Chase-Dunn and Hiroko Inoue</w:t>
      </w:r>
    </w:p>
    <w:p w:rsidR="00DB6AA2" w:rsidRDefault="00E277F1" w:rsidP="00DB6AA2">
      <w:pPr>
        <w:shd w:val="clear" w:color="auto" w:fill="F7F7F7"/>
        <w:textAlignment w:val="baseline"/>
        <w:rPr>
          <w:sz w:val="20"/>
        </w:rPr>
      </w:pPr>
      <w:r>
        <w:rPr>
          <w:sz w:val="20"/>
        </w:rPr>
        <w:t>For presentation</w:t>
      </w:r>
      <w:r w:rsidR="00DB6AA2">
        <w:rPr>
          <w:sz w:val="20"/>
        </w:rPr>
        <w:t xml:space="preserve"> at the </w:t>
      </w:r>
      <w:r w:rsidR="00E73B6A" w:rsidRPr="00502CAE">
        <w:rPr>
          <w:sz w:val="20"/>
        </w:rPr>
        <w:t xml:space="preserve">meeting of the </w:t>
      </w:r>
      <w:r>
        <w:rPr>
          <w:sz w:val="20"/>
        </w:rPr>
        <w:t>American Sociological Association</w:t>
      </w:r>
      <w:r w:rsidR="00DB6AA2">
        <w:rPr>
          <w:sz w:val="20"/>
        </w:rPr>
        <w:t xml:space="preserve">, </w:t>
      </w:r>
      <w:r>
        <w:rPr>
          <w:sz w:val="20"/>
        </w:rPr>
        <w:t>Seattle, August 23</w:t>
      </w:r>
      <w:r w:rsidR="005F1BBA">
        <w:rPr>
          <w:sz w:val="20"/>
        </w:rPr>
        <w:t>, 2016</w:t>
      </w:r>
      <w:r w:rsidR="00D21B61">
        <w:rPr>
          <w:sz w:val="20"/>
        </w:rPr>
        <w:t>, PEWS Roun</w:t>
      </w:r>
      <w:r w:rsidR="003A60D4">
        <w:rPr>
          <w:sz w:val="20"/>
        </w:rPr>
        <w:t>d</w:t>
      </w:r>
      <w:r w:rsidR="00D21B61">
        <w:rPr>
          <w:sz w:val="20"/>
        </w:rPr>
        <w:t>table.</w:t>
      </w:r>
    </w:p>
    <w:p w:rsidR="00E73B6A" w:rsidRPr="00502CAE" w:rsidRDefault="00DB6AA2" w:rsidP="00DB6AA2">
      <w:pPr>
        <w:shd w:val="clear" w:color="auto" w:fill="F7F7F7"/>
        <w:jc w:val="center"/>
        <w:textAlignment w:val="baseline"/>
        <w:rPr>
          <w:sz w:val="36"/>
        </w:rPr>
      </w:pPr>
      <w:r w:rsidRPr="00DB6AA2">
        <w:rPr>
          <w:sz w:val="36"/>
        </w:rPr>
        <w:t>Institu</w:t>
      </w:r>
      <w:r w:rsidR="00E73B6A" w:rsidRPr="00502CAE">
        <w:rPr>
          <w:sz w:val="36"/>
        </w:rPr>
        <w:t>te for Research on World-Systems</w:t>
      </w:r>
    </w:p>
    <w:p w:rsidR="00E73B6A" w:rsidRPr="00E73B6A" w:rsidRDefault="00E73B6A" w:rsidP="00E73B6A">
      <w:pPr>
        <w:jc w:val="center"/>
        <w:rPr>
          <w:sz w:val="32"/>
        </w:rPr>
      </w:pPr>
      <w:r w:rsidRPr="00E73B6A">
        <w:rPr>
          <w:sz w:val="32"/>
        </w:rPr>
        <w:t>University of California-Riverside</w:t>
      </w:r>
    </w:p>
    <w:p w:rsidR="00E73B6A" w:rsidRDefault="00E73B6A" w:rsidP="00E73B6A">
      <w:pPr>
        <w:jc w:val="center"/>
        <w:rPr>
          <w:rFonts w:ascii="Courier New" w:hAnsi="Courier New" w:cs="Courier New"/>
          <w:sz w:val="16"/>
          <w:szCs w:val="16"/>
        </w:rPr>
      </w:pPr>
      <w:r>
        <w:rPr>
          <w:rFonts w:ascii="Courier New" w:hAnsi="Courier New" w:cs="Courier New"/>
          <w:sz w:val="36"/>
          <w:szCs w:val="16"/>
        </w:rPr>
        <w:t>Draft</w:t>
      </w:r>
      <w:r w:rsidR="00E277F1">
        <w:rPr>
          <w:rFonts w:ascii="Courier New" w:hAnsi="Courier New" w:cs="Courier New"/>
          <w:sz w:val="16"/>
          <w:szCs w:val="16"/>
        </w:rPr>
        <w:t xml:space="preserve"> 8</w:t>
      </w:r>
      <w:r w:rsidR="00202BB0">
        <w:rPr>
          <w:rFonts w:ascii="Courier New" w:hAnsi="Courier New" w:cs="Courier New"/>
          <w:sz w:val="16"/>
          <w:szCs w:val="16"/>
        </w:rPr>
        <w:t>-</w:t>
      </w:r>
      <w:r w:rsidR="0028783F">
        <w:rPr>
          <w:rFonts w:ascii="Courier New" w:hAnsi="Courier New" w:cs="Courier New"/>
          <w:sz w:val="16"/>
          <w:szCs w:val="16"/>
        </w:rPr>
        <w:t>1</w:t>
      </w:r>
      <w:r w:rsidR="00091CCC">
        <w:rPr>
          <w:rFonts w:ascii="Courier New" w:hAnsi="Courier New" w:cs="Courier New"/>
          <w:sz w:val="16"/>
          <w:szCs w:val="16"/>
        </w:rPr>
        <w:t>7</w:t>
      </w:r>
      <w:r w:rsidR="0046555D">
        <w:rPr>
          <w:rFonts w:ascii="Courier New" w:hAnsi="Courier New" w:cs="Courier New"/>
          <w:sz w:val="16"/>
          <w:szCs w:val="16"/>
        </w:rPr>
        <w:t xml:space="preserve">-16; </w:t>
      </w:r>
      <w:r w:rsidR="00C26601">
        <w:rPr>
          <w:rFonts w:ascii="Courier New" w:hAnsi="Courier New" w:cs="Courier New"/>
          <w:sz w:val="16"/>
          <w:szCs w:val="16"/>
        </w:rPr>
        <w:t>10102</w:t>
      </w:r>
      <w:bookmarkStart w:id="0" w:name="_GoBack"/>
      <w:bookmarkEnd w:id="0"/>
      <w:r>
        <w:rPr>
          <w:rFonts w:ascii="Courier New" w:hAnsi="Courier New" w:cs="Courier New"/>
          <w:sz w:val="16"/>
          <w:szCs w:val="16"/>
        </w:rPr>
        <w:t xml:space="preserve"> words</w:t>
      </w:r>
    </w:p>
    <w:p w:rsidR="00E73B6A" w:rsidRDefault="00E73B6A" w:rsidP="00E73B6A">
      <w:pPr>
        <w:jc w:val="center"/>
        <w:rPr>
          <w:rFonts w:ascii="Garamond" w:hAnsi="Garamond"/>
          <w:noProof/>
        </w:rPr>
      </w:pPr>
      <w:r>
        <w:rPr>
          <w:rFonts w:ascii="Garamond" w:hAnsi="Garamond"/>
          <w:noProof/>
          <w:lang w:eastAsia="en-US"/>
        </w:rPr>
        <w:drawing>
          <wp:inline distT="0" distB="0" distL="0" distR="0">
            <wp:extent cx="22860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p>
    <w:p w:rsidR="003D15C7" w:rsidRDefault="00E73B6A" w:rsidP="00E73B6A">
      <w:pPr>
        <w:jc w:val="center"/>
      </w:pPr>
      <w:r>
        <w:t>This is IROWS Working Paper</w:t>
      </w:r>
      <w:r w:rsidR="003C537E">
        <w:rPr>
          <w:b/>
          <w:color w:val="FF0000"/>
        </w:rPr>
        <w:t xml:space="preserve"> </w:t>
      </w:r>
      <w:r w:rsidR="00060609">
        <w:rPr>
          <w:b/>
          <w:color w:val="FF0000"/>
        </w:rPr>
        <w:t xml:space="preserve"># </w:t>
      </w:r>
      <w:r w:rsidR="003C537E">
        <w:rPr>
          <w:b/>
          <w:color w:val="FF0000"/>
        </w:rPr>
        <w:t>108</w:t>
      </w:r>
      <w:r>
        <w:t xml:space="preserve"> available at </w:t>
      </w:r>
    </w:p>
    <w:p w:rsidR="00E73B6A" w:rsidRDefault="00B10D9A" w:rsidP="0055406B">
      <w:pPr>
        <w:jc w:val="right"/>
        <w:rPr>
          <w:rStyle w:val="Hyperlink"/>
        </w:rPr>
      </w:pPr>
      <w:hyperlink r:id="rId11" w:history="1">
        <w:r w:rsidR="003C537E" w:rsidRPr="00B51910">
          <w:rPr>
            <w:rStyle w:val="Hyperlink"/>
          </w:rPr>
          <w:t>http://irows.ucr.edu/papers/irows108/irows108.htm</w:t>
        </w:r>
      </w:hyperlink>
    </w:p>
    <w:p w:rsidR="00551BC2" w:rsidRDefault="00551BC2" w:rsidP="00551BC2">
      <w:pPr>
        <w:jc w:val="center"/>
        <w:rPr>
          <w:rFonts w:ascii="Garamond" w:hAnsi="Garamond"/>
          <w:noProof/>
        </w:rPr>
      </w:pPr>
      <w:r>
        <w:rPr>
          <w:rFonts w:ascii="Garamond" w:hAnsi="Garamond"/>
          <w:noProof/>
        </w:rPr>
        <w:t xml:space="preserve">The data Appendix to this paper is at </w:t>
      </w:r>
      <w:hyperlink r:id="rId12" w:history="1">
        <w:r w:rsidRPr="00551BC2">
          <w:rPr>
            <w:rStyle w:val="Hyperlink"/>
            <w:rFonts w:ascii="Garamond" w:hAnsi="Garamond"/>
            <w:noProof/>
          </w:rPr>
          <w:t>http://irows.ucr.edu/cd/appendices/powsize/powsizeapp.htm</w:t>
        </w:r>
      </w:hyperlink>
    </w:p>
    <w:p w:rsidR="00825099" w:rsidRDefault="00B0107A" w:rsidP="00BD2551">
      <w:pPr>
        <w:pBdr>
          <w:top w:val="single" w:sz="4" w:space="1" w:color="auto"/>
          <w:left w:val="single" w:sz="4" w:space="4" w:color="auto"/>
          <w:bottom w:val="single" w:sz="4" w:space="1" w:color="auto"/>
          <w:right w:val="single" w:sz="4" w:space="4" w:color="auto"/>
        </w:pBdr>
        <w:rPr>
          <w:rFonts w:ascii="Garamond" w:hAnsi="Garamond" w:cs="Gisha"/>
          <w:sz w:val="24"/>
          <w:szCs w:val="24"/>
        </w:rPr>
      </w:pPr>
      <w:r w:rsidRPr="00E73B6A">
        <w:rPr>
          <w:rFonts w:ascii="Garamond" w:hAnsi="Garamond" w:cs="Gisha"/>
          <w:b/>
          <w:bCs/>
          <w:sz w:val="24"/>
          <w:szCs w:val="24"/>
        </w:rPr>
        <w:t xml:space="preserve">Abstract: </w:t>
      </w:r>
      <w:r w:rsidR="00E73B6A" w:rsidRPr="00E73B6A">
        <w:rPr>
          <w:rFonts w:ascii="Garamond" w:hAnsi="Garamond" w:cs="Gisha"/>
          <w:b/>
          <w:bCs/>
          <w:sz w:val="24"/>
          <w:szCs w:val="24"/>
        </w:rPr>
        <w:t xml:space="preserve"> </w:t>
      </w:r>
      <w:r w:rsidRPr="00E73B6A">
        <w:rPr>
          <w:rFonts w:ascii="Garamond" w:hAnsi="Garamond" w:cs="Gisha"/>
          <w:sz w:val="24"/>
          <w:szCs w:val="24"/>
        </w:rPr>
        <w:t>This study examines</w:t>
      </w:r>
      <w:r w:rsidR="008C115F">
        <w:rPr>
          <w:rFonts w:ascii="Garamond" w:hAnsi="Garamond" w:cs="Gisha"/>
          <w:sz w:val="24"/>
          <w:szCs w:val="24"/>
        </w:rPr>
        <w:t xml:space="preserve"> the temporal relationships between</w:t>
      </w:r>
      <w:r w:rsidR="00B2779E">
        <w:rPr>
          <w:rFonts w:ascii="Garamond" w:hAnsi="Garamond" w:cs="Gisha"/>
          <w:sz w:val="24"/>
          <w:szCs w:val="24"/>
        </w:rPr>
        <w:t xml:space="preserve"> the</w:t>
      </w:r>
      <w:r w:rsidRPr="00E73B6A">
        <w:rPr>
          <w:rFonts w:ascii="Garamond" w:hAnsi="Garamond" w:cs="Gisha"/>
          <w:sz w:val="24"/>
          <w:szCs w:val="24"/>
        </w:rPr>
        <w:t xml:space="preserve"> growth and decline of cities and </w:t>
      </w:r>
      <w:r w:rsidR="00B2779E">
        <w:rPr>
          <w:rFonts w:ascii="Garamond" w:hAnsi="Garamond" w:cs="Gisha"/>
          <w:sz w:val="24"/>
          <w:szCs w:val="24"/>
        </w:rPr>
        <w:t>states</w:t>
      </w:r>
      <w:r w:rsidR="00060609">
        <w:rPr>
          <w:rFonts w:ascii="Garamond" w:hAnsi="Garamond" w:cs="Gisha"/>
          <w:sz w:val="24"/>
          <w:szCs w:val="24"/>
        </w:rPr>
        <w:t xml:space="preserve"> </w:t>
      </w:r>
      <w:r w:rsidR="00825099">
        <w:rPr>
          <w:rFonts w:ascii="Garamond" w:hAnsi="Garamond" w:cs="Gisha"/>
          <w:sz w:val="24"/>
          <w:szCs w:val="24"/>
        </w:rPr>
        <w:t xml:space="preserve">and changes in the </w:t>
      </w:r>
      <w:r w:rsidR="00B2779E">
        <w:rPr>
          <w:rFonts w:ascii="Garamond" w:hAnsi="Garamond" w:cs="Gisha"/>
          <w:sz w:val="24"/>
          <w:szCs w:val="24"/>
        </w:rPr>
        <w:t xml:space="preserve">distribution of </w:t>
      </w:r>
      <w:r w:rsidR="00825099">
        <w:rPr>
          <w:rFonts w:ascii="Garamond" w:hAnsi="Garamond" w:cs="Gisha"/>
          <w:sz w:val="24"/>
          <w:szCs w:val="24"/>
        </w:rPr>
        <w:t xml:space="preserve">power </w:t>
      </w:r>
      <w:r w:rsidR="00B2779E">
        <w:rPr>
          <w:rFonts w:ascii="Garamond" w:hAnsi="Garamond" w:cs="Gisha"/>
          <w:sz w:val="24"/>
          <w:szCs w:val="24"/>
        </w:rPr>
        <w:t>among states i</w:t>
      </w:r>
      <w:r w:rsidR="00825099">
        <w:rPr>
          <w:rFonts w:ascii="Garamond" w:hAnsi="Garamond" w:cs="Gisha"/>
          <w:sz w:val="24"/>
          <w:szCs w:val="24"/>
        </w:rPr>
        <w:t>n</w:t>
      </w:r>
      <w:r w:rsidR="00B2779E">
        <w:rPr>
          <w:rFonts w:ascii="Garamond" w:hAnsi="Garamond" w:cs="Gisha"/>
          <w:sz w:val="24"/>
          <w:szCs w:val="24"/>
        </w:rPr>
        <w:t xml:space="preserve"> five </w:t>
      </w:r>
      <w:r w:rsidR="008C115F">
        <w:rPr>
          <w:rFonts w:ascii="Garamond" w:hAnsi="Garamond" w:cs="Gisha"/>
          <w:sz w:val="24"/>
          <w:szCs w:val="24"/>
        </w:rPr>
        <w:t xml:space="preserve">whole interstate systems (world-systems) </w:t>
      </w:r>
      <w:r w:rsidR="00060609">
        <w:rPr>
          <w:rFonts w:ascii="Garamond" w:hAnsi="Garamond" w:cs="Gisha"/>
          <w:sz w:val="24"/>
          <w:szCs w:val="24"/>
        </w:rPr>
        <w:t xml:space="preserve">since </w:t>
      </w:r>
      <w:r w:rsidR="00825099">
        <w:rPr>
          <w:rFonts w:ascii="Garamond" w:hAnsi="Garamond" w:cs="Gisha"/>
          <w:sz w:val="24"/>
          <w:szCs w:val="24"/>
        </w:rPr>
        <w:t>27</w:t>
      </w:r>
      <w:r w:rsidR="008C115F">
        <w:rPr>
          <w:rFonts w:ascii="Garamond" w:hAnsi="Garamond" w:cs="Gisha"/>
          <w:sz w:val="24"/>
          <w:szCs w:val="24"/>
        </w:rPr>
        <w:t>00 BCE</w:t>
      </w:r>
      <w:r w:rsidR="00825099">
        <w:rPr>
          <w:rFonts w:ascii="Garamond" w:hAnsi="Garamond" w:cs="Gisha"/>
          <w:sz w:val="24"/>
          <w:szCs w:val="24"/>
        </w:rPr>
        <w:t xml:space="preserve">. </w:t>
      </w:r>
      <w:r w:rsidR="00060609">
        <w:rPr>
          <w:rFonts w:ascii="Garamond" w:hAnsi="Garamond" w:cs="Gisha"/>
          <w:sz w:val="24"/>
          <w:szCs w:val="24"/>
        </w:rPr>
        <w:t>World historians have</w:t>
      </w:r>
      <w:r w:rsidRPr="00E73B6A">
        <w:rPr>
          <w:rFonts w:ascii="Garamond" w:hAnsi="Garamond" w:cs="Gisha"/>
          <w:sz w:val="24"/>
          <w:szCs w:val="24"/>
        </w:rPr>
        <w:t xml:space="preserve"> long recognized that the population sizes of </w:t>
      </w:r>
      <w:r w:rsidR="00B2779E">
        <w:rPr>
          <w:rFonts w:ascii="Garamond" w:hAnsi="Garamond" w:cs="Gisha"/>
          <w:sz w:val="24"/>
          <w:szCs w:val="24"/>
        </w:rPr>
        <w:t>settlements</w:t>
      </w:r>
      <w:r w:rsidRPr="00E73B6A">
        <w:rPr>
          <w:rFonts w:ascii="Garamond" w:hAnsi="Garamond" w:cs="Gisha"/>
          <w:sz w:val="24"/>
          <w:szCs w:val="24"/>
        </w:rPr>
        <w:t xml:space="preserve"> a</w:t>
      </w:r>
      <w:r w:rsidR="007840A6">
        <w:rPr>
          <w:rFonts w:ascii="Garamond" w:hAnsi="Garamond" w:cs="Gisha"/>
          <w:sz w:val="24"/>
          <w:szCs w:val="24"/>
        </w:rPr>
        <w:t>nd</w:t>
      </w:r>
      <w:r w:rsidR="00B2779E">
        <w:rPr>
          <w:rFonts w:ascii="Garamond" w:hAnsi="Garamond" w:cs="Gisha"/>
          <w:sz w:val="24"/>
          <w:szCs w:val="24"/>
        </w:rPr>
        <w:t xml:space="preserve"> the territorial sizes of </w:t>
      </w:r>
      <w:r w:rsidRPr="00E73B6A">
        <w:rPr>
          <w:rFonts w:ascii="Garamond" w:hAnsi="Garamond" w:cs="Gisha"/>
          <w:sz w:val="24"/>
          <w:szCs w:val="24"/>
        </w:rPr>
        <w:t xml:space="preserve">polities </w:t>
      </w:r>
      <w:r w:rsidR="009360B7">
        <w:rPr>
          <w:rFonts w:ascii="Garamond" w:hAnsi="Garamond" w:cs="Gisha"/>
          <w:sz w:val="24"/>
          <w:szCs w:val="24"/>
        </w:rPr>
        <w:t>both increase</w:t>
      </w:r>
      <w:r w:rsidR="008D7D49">
        <w:rPr>
          <w:rFonts w:ascii="Garamond" w:hAnsi="Garamond" w:cs="Gisha"/>
          <w:sz w:val="24"/>
          <w:szCs w:val="24"/>
        </w:rPr>
        <w:t>d</w:t>
      </w:r>
      <w:r w:rsidR="009360B7">
        <w:rPr>
          <w:rFonts w:ascii="Garamond" w:hAnsi="Garamond" w:cs="Gisha"/>
          <w:sz w:val="24"/>
          <w:szCs w:val="24"/>
        </w:rPr>
        <w:t xml:space="preserve"> over time and </w:t>
      </w:r>
      <w:r w:rsidR="008D7D49">
        <w:rPr>
          <w:rFonts w:ascii="Garamond" w:hAnsi="Garamond" w:cs="Gisha"/>
          <w:sz w:val="24"/>
          <w:szCs w:val="24"/>
        </w:rPr>
        <w:t>went</w:t>
      </w:r>
      <w:r w:rsidRPr="00E73B6A">
        <w:rPr>
          <w:rFonts w:ascii="Garamond" w:hAnsi="Garamond" w:cs="Gisha"/>
          <w:sz w:val="24"/>
          <w:szCs w:val="24"/>
        </w:rPr>
        <w:t xml:space="preserve"> through cyclical growth and decline phases. </w:t>
      </w:r>
      <w:r w:rsidR="009360B7">
        <w:rPr>
          <w:rFonts w:ascii="Garamond" w:hAnsi="Garamond" w:cs="Gisha"/>
          <w:sz w:val="24"/>
          <w:szCs w:val="24"/>
        </w:rPr>
        <w:t xml:space="preserve">Earlier studies have </w:t>
      </w:r>
      <w:r w:rsidRPr="00E73B6A">
        <w:rPr>
          <w:rFonts w:ascii="Garamond" w:hAnsi="Garamond" w:cs="Gisha"/>
          <w:sz w:val="24"/>
          <w:szCs w:val="24"/>
        </w:rPr>
        <w:t xml:space="preserve">found that urban and polity </w:t>
      </w:r>
      <w:r w:rsidRPr="009360B7">
        <w:rPr>
          <w:rFonts w:ascii="Garamond" w:hAnsi="Garamond" w:cs="Gisha"/>
          <w:b/>
          <w:sz w:val="24"/>
          <w:szCs w:val="24"/>
        </w:rPr>
        <w:t>upsweeps</w:t>
      </w:r>
      <w:r w:rsidRPr="00E73B6A">
        <w:rPr>
          <w:rFonts w:ascii="Garamond" w:hAnsi="Garamond" w:cs="Gisha"/>
          <w:sz w:val="24"/>
          <w:szCs w:val="24"/>
        </w:rPr>
        <w:t xml:space="preserve"> (large </w:t>
      </w:r>
      <w:r w:rsidR="00B2779E">
        <w:rPr>
          <w:rFonts w:ascii="Garamond" w:hAnsi="Garamond" w:cs="Gisha"/>
          <w:sz w:val="24"/>
          <w:szCs w:val="24"/>
        </w:rPr>
        <w:t>increases</w:t>
      </w:r>
      <w:r w:rsidR="008D7D49">
        <w:rPr>
          <w:rFonts w:ascii="Garamond" w:hAnsi="Garamond" w:cs="Gisha"/>
          <w:sz w:val="24"/>
          <w:szCs w:val="24"/>
        </w:rPr>
        <w:t xml:space="preserve"> in scale) are correlated over</w:t>
      </w:r>
      <w:r w:rsidRPr="00E73B6A">
        <w:rPr>
          <w:rFonts w:ascii="Garamond" w:hAnsi="Garamond" w:cs="Gisha"/>
          <w:sz w:val="24"/>
          <w:szCs w:val="24"/>
        </w:rPr>
        <w:t xml:space="preserve"> time. But the number of these instances of large-scale change (upsweeps) </w:t>
      </w:r>
      <w:r w:rsidR="00E13D53">
        <w:rPr>
          <w:rFonts w:ascii="Garamond" w:hAnsi="Garamond" w:cs="Gisha"/>
          <w:sz w:val="24"/>
          <w:szCs w:val="24"/>
        </w:rPr>
        <w:t xml:space="preserve">is </w:t>
      </w:r>
      <w:r w:rsidR="009360B7">
        <w:rPr>
          <w:rFonts w:ascii="Garamond" w:hAnsi="Garamond" w:cs="Gisha"/>
          <w:sz w:val="24"/>
          <w:szCs w:val="24"/>
        </w:rPr>
        <w:t>few</w:t>
      </w:r>
      <w:r w:rsidR="00E13D53">
        <w:rPr>
          <w:rFonts w:ascii="Garamond" w:hAnsi="Garamond" w:cs="Gisha"/>
          <w:sz w:val="24"/>
          <w:szCs w:val="24"/>
        </w:rPr>
        <w:t xml:space="preserve">. </w:t>
      </w:r>
      <w:r w:rsidR="009360B7">
        <w:rPr>
          <w:rFonts w:ascii="Garamond" w:hAnsi="Garamond" w:cs="Gisha"/>
          <w:sz w:val="24"/>
          <w:szCs w:val="24"/>
        </w:rPr>
        <w:t xml:space="preserve"> M</w:t>
      </w:r>
      <w:r w:rsidRPr="00E73B6A">
        <w:rPr>
          <w:rFonts w:ascii="Garamond" w:hAnsi="Garamond" w:cs="Gisha"/>
          <w:sz w:val="24"/>
          <w:szCs w:val="24"/>
        </w:rPr>
        <w:t xml:space="preserve">ore numerous are the smaller </w:t>
      </w:r>
      <w:r w:rsidRPr="00E73B6A">
        <w:rPr>
          <w:rFonts w:ascii="Garamond" w:hAnsi="Garamond" w:cs="Gisha"/>
          <w:b/>
          <w:bCs/>
          <w:sz w:val="24"/>
          <w:szCs w:val="24"/>
        </w:rPr>
        <w:t>upswings</w:t>
      </w:r>
      <w:r w:rsidRPr="00E73B6A">
        <w:rPr>
          <w:rFonts w:ascii="Garamond" w:hAnsi="Garamond" w:cs="Gisha"/>
          <w:sz w:val="24"/>
          <w:szCs w:val="24"/>
        </w:rPr>
        <w:t xml:space="preserve"> in which the sizes of the </w:t>
      </w:r>
      <w:r w:rsidR="009360B7">
        <w:rPr>
          <w:rFonts w:ascii="Garamond" w:hAnsi="Garamond" w:cs="Gisha"/>
          <w:sz w:val="24"/>
          <w:szCs w:val="24"/>
        </w:rPr>
        <w:t>largest city or polity increase</w:t>
      </w:r>
      <w:r w:rsidRPr="00E73B6A">
        <w:rPr>
          <w:rFonts w:ascii="Garamond" w:hAnsi="Garamond" w:cs="Gisha"/>
          <w:sz w:val="24"/>
          <w:szCs w:val="24"/>
        </w:rPr>
        <w:t xml:space="preserve"> but </w:t>
      </w:r>
      <w:r w:rsidR="009360B7">
        <w:rPr>
          <w:rFonts w:ascii="Garamond" w:hAnsi="Garamond" w:cs="Gisha"/>
          <w:sz w:val="24"/>
          <w:szCs w:val="24"/>
        </w:rPr>
        <w:t>do</w:t>
      </w:r>
      <w:r w:rsidRPr="00E73B6A">
        <w:rPr>
          <w:rFonts w:ascii="Garamond" w:hAnsi="Garamond" w:cs="Gisha"/>
          <w:sz w:val="24"/>
          <w:szCs w:val="24"/>
        </w:rPr>
        <w:t xml:space="preserve"> not</w:t>
      </w:r>
      <w:r w:rsidR="009360B7">
        <w:rPr>
          <w:rFonts w:ascii="Garamond" w:hAnsi="Garamond" w:cs="Gisha"/>
          <w:sz w:val="24"/>
          <w:szCs w:val="24"/>
        </w:rPr>
        <w:t xml:space="preserve"> become</w:t>
      </w:r>
      <w:r w:rsidRPr="00E73B6A">
        <w:rPr>
          <w:rFonts w:ascii="Garamond" w:hAnsi="Garamond" w:cs="Gisha"/>
          <w:sz w:val="24"/>
          <w:szCs w:val="24"/>
        </w:rPr>
        <w:t xml:space="preserve"> significantly larger than earlier increases.</w:t>
      </w:r>
      <w:r w:rsidR="00610328">
        <w:rPr>
          <w:rFonts w:ascii="Garamond" w:hAnsi="Garamond" w:cs="Gisha"/>
          <w:sz w:val="24"/>
          <w:szCs w:val="24"/>
        </w:rPr>
        <w:t xml:space="preserve"> Sweeps are large changes and swings are </w:t>
      </w:r>
      <w:r w:rsidR="00304423">
        <w:rPr>
          <w:rFonts w:ascii="Garamond" w:hAnsi="Garamond" w:cs="Gisha"/>
          <w:sz w:val="24"/>
          <w:szCs w:val="24"/>
        </w:rPr>
        <w:t>sm</w:t>
      </w:r>
      <w:r w:rsidR="00610328">
        <w:rPr>
          <w:rFonts w:ascii="Garamond" w:hAnsi="Garamond" w:cs="Gisha"/>
          <w:sz w:val="24"/>
          <w:szCs w:val="24"/>
        </w:rPr>
        <w:t>all</w:t>
      </w:r>
      <w:r w:rsidR="00304423">
        <w:rPr>
          <w:rFonts w:ascii="Garamond" w:hAnsi="Garamond" w:cs="Gisha"/>
          <w:sz w:val="24"/>
          <w:szCs w:val="24"/>
        </w:rPr>
        <w:t>er</w:t>
      </w:r>
      <w:r w:rsidR="00610328">
        <w:rPr>
          <w:rFonts w:ascii="Garamond" w:hAnsi="Garamond" w:cs="Gisha"/>
          <w:sz w:val="24"/>
          <w:szCs w:val="24"/>
        </w:rPr>
        <w:t xml:space="preserve"> changes.</w:t>
      </w:r>
      <w:r w:rsidR="002A2ACE">
        <w:rPr>
          <w:rFonts w:ascii="Garamond" w:hAnsi="Garamond" w:cs="Gisha"/>
          <w:sz w:val="24"/>
          <w:szCs w:val="24"/>
        </w:rPr>
        <w:t xml:space="preserve"> </w:t>
      </w:r>
      <w:r w:rsidR="00060609">
        <w:rPr>
          <w:rFonts w:ascii="Garamond" w:hAnsi="Garamond" w:cs="Gisha"/>
          <w:sz w:val="24"/>
          <w:szCs w:val="24"/>
        </w:rPr>
        <w:t xml:space="preserve">In this paper we will </w:t>
      </w:r>
      <w:r w:rsidR="00B2779E">
        <w:rPr>
          <w:rFonts w:ascii="Garamond" w:hAnsi="Garamond" w:cs="Gisha"/>
          <w:sz w:val="24"/>
          <w:szCs w:val="24"/>
        </w:rPr>
        <w:lastRenderedPageBreak/>
        <w:t>study</w:t>
      </w:r>
      <w:r w:rsidR="00946691">
        <w:rPr>
          <w:rFonts w:ascii="Garamond" w:hAnsi="Garamond" w:cs="Gisha"/>
          <w:sz w:val="24"/>
          <w:szCs w:val="24"/>
        </w:rPr>
        <w:t xml:space="preserve"> the</w:t>
      </w:r>
      <w:r w:rsidR="00E13D53">
        <w:rPr>
          <w:rFonts w:ascii="Garamond" w:hAnsi="Garamond" w:cs="Gisha"/>
          <w:sz w:val="24"/>
          <w:szCs w:val="24"/>
        </w:rPr>
        <w:t>se more numerous</w:t>
      </w:r>
      <w:r w:rsidR="00946691">
        <w:rPr>
          <w:rFonts w:ascii="Garamond" w:hAnsi="Garamond" w:cs="Gisha"/>
          <w:sz w:val="24"/>
          <w:szCs w:val="24"/>
        </w:rPr>
        <w:t xml:space="preserve"> </w:t>
      </w:r>
      <w:r w:rsidR="00343789">
        <w:rPr>
          <w:rFonts w:ascii="Garamond" w:hAnsi="Garamond" w:cs="Gisha"/>
          <w:sz w:val="24"/>
          <w:szCs w:val="24"/>
        </w:rPr>
        <w:t>urban and polity swings in</w:t>
      </w:r>
      <w:r w:rsidR="00946691">
        <w:rPr>
          <w:rFonts w:ascii="Garamond" w:hAnsi="Garamond" w:cs="Gisha"/>
          <w:sz w:val="24"/>
          <w:szCs w:val="24"/>
        </w:rPr>
        <w:t xml:space="preserve"> </w:t>
      </w:r>
      <w:r w:rsidR="00B2779E">
        <w:rPr>
          <w:rFonts w:ascii="Garamond" w:hAnsi="Garamond" w:cs="Gisha"/>
          <w:sz w:val="24"/>
          <w:szCs w:val="24"/>
        </w:rPr>
        <w:t>five</w:t>
      </w:r>
      <w:r w:rsidR="00946691">
        <w:rPr>
          <w:rFonts w:ascii="Garamond" w:hAnsi="Garamond" w:cs="Gisha"/>
          <w:sz w:val="24"/>
          <w:szCs w:val="24"/>
        </w:rPr>
        <w:t xml:space="preserve"> political-military </w:t>
      </w:r>
      <w:r w:rsidR="00826380">
        <w:rPr>
          <w:rFonts w:ascii="Garamond" w:hAnsi="Garamond" w:cs="Gisha"/>
          <w:sz w:val="24"/>
          <w:szCs w:val="24"/>
        </w:rPr>
        <w:t xml:space="preserve">interaction </w:t>
      </w:r>
      <w:r w:rsidR="00946691">
        <w:rPr>
          <w:rFonts w:ascii="Garamond" w:hAnsi="Garamond" w:cs="Gisha"/>
          <w:sz w:val="24"/>
          <w:szCs w:val="24"/>
        </w:rPr>
        <w:t>networks (PMN</w:t>
      </w:r>
      <w:r w:rsidR="00060609">
        <w:rPr>
          <w:rFonts w:ascii="Garamond" w:hAnsi="Garamond" w:cs="Gisha"/>
          <w:sz w:val="24"/>
          <w:szCs w:val="24"/>
        </w:rPr>
        <w:t>s</w:t>
      </w:r>
      <w:r w:rsidR="00946691">
        <w:rPr>
          <w:rFonts w:ascii="Garamond" w:hAnsi="Garamond" w:cs="Gisha"/>
          <w:sz w:val="24"/>
          <w:szCs w:val="24"/>
        </w:rPr>
        <w:t xml:space="preserve">) </w:t>
      </w:r>
      <w:r w:rsidR="00060609">
        <w:rPr>
          <w:rFonts w:ascii="Garamond" w:hAnsi="Garamond" w:cs="Gisha"/>
          <w:sz w:val="24"/>
          <w:szCs w:val="24"/>
        </w:rPr>
        <w:t>in which we have enough size estimates to</w:t>
      </w:r>
      <w:r w:rsidR="005651E8">
        <w:rPr>
          <w:rFonts w:ascii="Garamond" w:hAnsi="Garamond" w:cs="Gisha"/>
          <w:sz w:val="24"/>
          <w:szCs w:val="24"/>
        </w:rPr>
        <w:t xml:space="preserve"> quantitatively </w:t>
      </w:r>
      <w:r w:rsidR="00060609">
        <w:rPr>
          <w:rFonts w:ascii="Garamond" w:hAnsi="Garamond" w:cs="Gisha"/>
          <w:sz w:val="24"/>
          <w:szCs w:val="24"/>
        </w:rPr>
        <w:t xml:space="preserve"> study changes in the sizes of the largest cities and empires.</w:t>
      </w:r>
      <w:r w:rsidR="00E13D53">
        <w:rPr>
          <w:rFonts w:ascii="Garamond" w:hAnsi="Garamond" w:cs="Gisha"/>
          <w:sz w:val="24"/>
          <w:szCs w:val="24"/>
        </w:rPr>
        <w:t xml:space="preserve"> </w:t>
      </w:r>
      <w:r w:rsidR="00825099">
        <w:rPr>
          <w:rFonts w:ascii="Garamond" w:hAnsi="Garamond" w:cs="Gisha"/>
          <w:sz w:val="24"/>
          <w:szCs w:val="24"/>
        </w:rPr>
        <w:t>W</w:t>
      </w:r>
      <w:r w:rsidR="00E13D53">
        <w:rPr>
          <w:rFonts w:ascii="Garamond" w:hAnsi="Garamond" w:cs="Gisha"/>
          <w:sz w:val="24"/>
          <w:szCs w:val="24"/>
        </w:rPr>
        <w:t xml:space="preserve">e will compare swings with sweeps to see if there are </w:t>
      </w:r>
      <w:r w:rsidR="009360B7">
        <w:rPr>
          <w:rFonts w:ascii="Garamond" w:hAnsi="Garamond" w:cs="Gisha"/>
          <w:sz w:val="24"/>
          <w:szCs w:val="24"/>
        </w:rPr>
        <w:t>patterned</w:t>
      </w:r>
      <w:r w:rsidR="00E13D53">
        <w:rPr>
          <w:rFonts w:ascii="Garamond" w:hAnsi="Garamond" w:cs="Gisha"/>
          <w:sz w:val="24"/>
          <w:szCs w:val="24"/>
        </w:rPr>
        <w:t xml:space="preserve"> differences</w:t>
      </w:r>
      <w:r w:rsidR="0086397B">
        <w:rPr>
          <w:rFonts w:ascii="Garamond" w:hAnsi="Garamond" w:cs="Gisha"/>
          <w:sz w:val="24"/>
          <w:szCs w:val="24"/>
        </w:rPr>
        <w:t xml:space="preserve"> between larger and smaller changes</w:t>
      </w:r>
      <w:r w:rsidR="00E13D53">
        <w:rPr>
          <w:rFonts w:ascii="Garamond" w:hAnsi="Garamond" w:cs="Gisha"/>
          <w:sz w:val="24"/>
          <w:szCs w:val="24"/>
        </w:rPr>
        <w:t>.</w:t>
      </w:r>
      <w:r w:rsidR="005651E8">
        <w:rPr>
          <w:rFonts w:ascii="Garamond" w:hAnsi="Garamond" w:cs="Gisha"/>
          <w:sz w:val="24"/>
          <w:szCs w:val="24"/>
        </w:rPr>
        <w:t xml:space="preserve"> The </w:t>
      </w:r>
      <w:r w:rsidR="009360B7">
        <w:rPr>
          <w:rFonts w:ascii="Garamond" w:hAnsi="Garamond" w:cs="Gisha"/>
          <w:sz w:val="24"/>
          <w:szCs w:val="24"/>
        </w:rPr>
        <w:t>interstate</w:t>
      </w:r>
      <w:r w:rsidR="00060609">
        <w:rPr>
          <w:rFonts w:ascii="Garamond" w:hAnsi="Garamond" w:cs="Gisha"/>
          <w:sz w:val="24"/>
          <w:szCs w:val="24"/>
        </w:rPr>
        <w:t xml:space="preserve"> systems tha</w:t>
      </w:r>
      <w:r w:rsidR="0086397B">
        <w:rPr>
          <w:rFonts w:ascii="Garamond" w:hAnsi="Garamond" w:cs="Gisha"/>
          <w:sz w:val="24"/>
          <w:szCs w:val="24"/>
        </w:rPr>
        <w:t>t we study are those</w:t>
      </w:r>
      <w:r w:rsidR="00060609">
        <w:rPr>
          <w:rFonts w:ascii="Garamond" w:hAnsi="Garamond" w:cs="Gisha"/>
          <w:sz w:val="24"/>
          <w:szCs w:val="24"/>
        </w:rPr>
        <w:t xml:space="preserve"> centered in Mesopotamia, Egypt, East Asia</w:t>
      </w:r>
      <w:r w:rsidR="00946691">
        <w:rPr>
          <w:rFonts w:ascii="Garamond" w:hAnsi="Garamond" w:cs="Gisha"/>
          <w:sz w:val="24"/>
          <w:szCs w:val="24"/>
        </w:rPr>
        <w:t xml:space="preserve">, South </w:t>
      </w:r>
      <w:r w:rsidR="00060609">
        <w:rPr>
          <w:rFonts w:ascii="Garamond" w:hAnsi="Garamond" w:cs="Gisha"/>
          <w:sz w:val="24"/>
          <w:szCs w:val="24"/>
        </w:rPr>
        <w:t>Asia</w:t>
      </w:r>
      <w:r w:rsidR="00946691">
        <w:rPr>
          <w:rFonts w:ascii="Garamond" w:hAnsi="Garamond" w:cs="Gisha"/>
          <w:sz w:val="24"/>
          <w:szCs w:val="24"/>
        </w:rPr>
        <w:t xml:space="preserve"> and</w:t>
      </w:r>
      <w:r w:rsidR="007856F7">
        <w:rPr>
          <w:rFonts w:ascii="Garamond" w:hAnsi="Garamond" w:cs="Gisha"/>
          <w:sz w:val="24"/>
          <w:szCs w:val="24"/>
        </w:rPr>
        <w:t xml:space="preserve"> the expanding</w:t>
      </w:r>
      <w:r w:rsidR="00946691">
        <w:rPr>
          <w:rFonts w:ascii="Garamond" w:hAnsi="Garamond" w:cs="Gisha"/>
          <w:sz w:val="24"/>
          <w:szCs w:val="24"/>
        </w:rPr>
        <w:t xml:space="preserve"> </w:t>
      </w:r>
      <w:r w:rsidR="00826380">
        <w:rPr>
          <w:rFonts w:ascii="Garamond" w:hAnsi="Garamond" w:cs="Gisha"/>
          <w:sz w:val="24"/>
          <w:szCs w:val="24"/>
        </w:rPr>
        <w:t>Central PMN.</w:t>
      </w:r>
      <w:r w:rsidR="00946691">
        <w:rPr>
          <w:rFonts w:ascii="Garamond" w:hAnsi="Garamond" w:cs="Gisha"/>
          <w:sz w:val="24"/>
          <w:szCs w:val="24"/>
        </w:rPr>
        <w:t xml:space="preserve"> </w:t>
      </w:r>
      <w:r w:rsidR="00826380">
        <w:rPr>
          <w:rFonts w:ascii="Garamond" w:hAnsi="Garamond" w:cs="Gisha"/>
          <w:sz w:val="24"/>
          <w:szCs w:val="24"/>
        </w:rPr>
        <w:t xml:space="preserve">Thus, the </w:t>
      </w:r>
      <w:r w:rsidR="00B2779E">
        <w:rPr>
          <w:rFonts w:ascii="Garamond" w:hAnsi="Garamond" w:cs="Gisha"/>
          <w:sz w:val="24"/>
          <w:szCs w:val="24"/>
        </w:rPr>
        <w:t xml:space="preserve">main </w:t>
      </w:r>
      <w:r w:rsidR="007856F7">
        <w:rPr>
          <w:rFonts w:ascii="Garamond" w:hAnsi="Garamond" w:cs="Gisha"/>
          <w:sz w:val="24"/>
          <w:szCs w:val="24"/>
        </w:rPr>
        <w:t>unit of analysis in this paper is the</w:t>
      </w:r>
      <w:r w:rsidR="00826380">
        <w:rPr>
          <w:rFonts w:ascii="Garamond" w:hAnsi="Garamond" w:cs="Gisha"/>
          <w:sz w:val="24"/>
          <w:szCs w:val="24"/>
        </w:rPr>
        <w:t xml:space="preserve"> political/military interaction network</w:t>
      </w:r>
      <w:r w:rsidR="005651E8">
        <w:rPr>
          <w:rFonts w:ascii="Garamond" w:hAnsi="Garamond" w:cs="Gisha"/>
          <w:sz w:val="24"/>
          <w:szCs w:val="24"/>
        </w:rPr>
        <w:t xml:space="preserve"> – a whole system of interacting polities that are making war and military alliances with one another</w:t>
      </w:r>
      <w:r w:rsidR="007856F7">
        <w:rPr>
          <w:rFonts w:ascii="Garamond" w:hAnsi="Garamond" w:cs="Gisha"/>
          <w:sz w:val="24"/>
          <w:szCs w:val="24"/>
        </w:rPr>
        <w:t xml:space="preserve">. </w:t>
      </w:r>
      <w:r w:rsidR="00826380">
        <w:rPr>
          <w:rFonts w:ascii="Garamond" w:hAnsi="Garamond" w:cs="Gisha"/>
          <w:sz w:val="24"/>
          <w:szCs w:val="24"/>
        </w:rPr>
        <w:t xml:space="preserve"> </w:t>
      </w:r>
      <w:r w:rsidR="005651E8">
        <w:rPr>
          <w:rFonts w:ascii="Garamond" w:hAnsi="Garamond" w:cs="Gisha"/>
          <w:sz w:val="24"/>
          <w:szCs w:val="24"/>
        </w:rPr>
        <w:t>We</w:t>
      </w:r>
      <w:r w:rsidR="007856F7">
        <w:rPr>
          <w:rFonts w:ascii="Garamond" w:hAnsi="Garamond" w:cs="Gisha"/>
          <w:sz w:val="24"/>
          <w:szCs w:val="24"/>
        </w:rPr>
        <w:t xml:space="preserve"> study the relationships across time between</w:t>
      </w:r>
      <w:r w:rsidR="005651E8">
        <w:rPr>
          <w:rFonts w:ascii="Garamond" w:hAnsi="Garamond" w:cs="Gisha"/>
          <w:sz w:val="24"/>
          <w:szCs w:val="24"/>
        </w:rPr>
        <w:t xml:space="preserve"> the growth and decline</w:t>
      </w:r>
      <w:r w:rsidR="0086397B">
        <w:rPr>
          <w:rFonts w:ascii="Garamond" w:hAnsi="Garamond" w:cs="Gisha"/>
          <w:sz w:val="24"/>
          <w:szCs w:val="24"/>
        </w:rPr>
        <w:t xml:space="preserve"> of</w:t>
      </w:r>
      <w:r w:rsidR="005651E8">
        <w:rPr>
          <w:rFonts w:ascii="Garamond" w:hAnsi="Garamond" w:cs="Gisha"/>
          <w:sz w:val="24"/>
          <w:szCs w:val="24"/>
        </w:rPr>
        <w:t xml:space="preserve"> the largest cities and the largest polities </w:t>
      </w:r>
      <w:r w:rsidRPr="003C537E">
        <w:rPr>
          <w:rFonts w:ascii="Garamond" w:hAnsi="Garamond" w:cs="Gisha"/>
          <w:sz w:val="24"/>
          <w:szCs w:val="24"/>
        </w:rPr>
        <w:t>we will</w:t>
      </w:r>
      <w:r w:rsidR="00825099">
        <w:rPr>
          <w:rFonts w:ascii="Garamond" w:hAnsi="Garamond" w:cs="Gisha"/>
          <w:sz w:val="24"/>
          <w:szCs w:val="24"/>
        </w:rPr>
        <w:t xml:space="preserve"> examine the relationships between these and changes in the power configuration of these </w:t>
      </w:r>
      <w:r w:rsidR="00B2779E">
        <w:rPr>
          <w:rFonts w:ascii="Garamond" w:hAnsi="Garamond" w:cs="Gisha"/>
          <w:sz w:val="24"/>
          <w:szCs w:val="24"/>
        </w:rPr>
        <w:t xml:space="preserve">same </w:t>
      </w:r>
      <w:r w:rsidR="00825099">
        <w:rPr>
          <w:rFonts w:ascii="Garamond" w:hAnsi="Garamond" w:cs="Gisha"/>
          <w:sz w:val="24"/>
          <w:szCs w:val="24"/>
        </w:rPr>
        <w:t>systems. Interstate power configurations vary from decentralized to centralized based on the relative sizes</w:t>
      </w:r>
      <w:r w:rsidR="00B2779E">
        <w:rPr>
          <w:rFonts w:ascii="Garamond" w:hAnsi="Garamond" w:cs="Gisha"/>
          <w:sz w:val="24"/>
          <w:szCs w:val="24"/>
        </w:rPr>
        <w:t xml:space="preserve"> and power</w:t>
      </w:r>
      <w:r w:rsidR="00825099">
        <w:rPr>
          <w:rFonts w:ascii="Garamond" w:hAnsi="Garamond" w:cs="Gisha"/>
          <w:sz w:val="24"/>
          <w:szCs w:val="24"/>
        </w:rPr>
        <w:t xml:space="preserve"> of the interactin</w:t>
      </w:r>
      <w:r w:rsidR="005651E8">
        <w:rPr>
          <w:rFonts w:ascii="Garamond" w:hAnsi="Garamond" w:cs="Gisha"/>
          <w:sz w:val="24"/>
          <w:szCs w:val="24"/>
        </w:rPr>
        <w:t>g states in each system. We</w:t>
      </w:r>
      <w:r w:rsidR="00825099">
        <w:rPr>
          <w:rFonts w:ascii="Garamond" w:hAnsi="Garamond" w:cs="Gisha"/>
          <w:sz w:val="24"/>
          <w:szCs w:val="24"/>
        </w:rPr>
        <w:t xml:space="preserve"> also discuss </w:t>
      </w:r>
      <w:r w:rsidRPr="003C537E">
        <w:rPr>
          <w:rFonts w:ascii="Garamond" w:hAnsi="Garamond" w:cs="Gisha"/>
          <w:sz w:val="24"/>
          <w:szCs w:val="24"/>
        </w:rPr>
        <w:t xml:space="preserve">such potential causes of upswings and upsweeps as </w:t>
      </w:r>
      <w:r w:rsidR="00343789">
        <w:rPr>
          <w:rFonts w:ascii="Garamond" w:hAnsi="Garamond" w:cs="Gisha"/>
          <w:sz w:val="24"/>
          <w:szCs w:val="24"/>
        </w:rPr>
        <w:t xml:space="preserve">demographic change, </w:t>
      </w:r>
      <w:r w:rsidRPr="003C537E">
        <w:rPr>
          <w:rFonts w:ascii="Garamond" w:hAnsi="Garamond" w:cs="Gisha"/>
          <w:sz w:val="24"/>
          <w:szCs w:val="24"/>
        </w:rPr>
        <w:t>warfare</w:t>
      </w:r>
      <w:r w:rsidR="00825099">
        <w:rPr>
          <w:rFonts w:ascii="Garamond" w:hAnsi="Garamond" w:cs="Gisha"/>
          <w:sz w:val="24"/>
          <w:szCs w:val="24"/>
        </w:rPr>
        <w:t xml:space="preserve"> and</w:t>
      </w:r>
      <w:r w:rsidR="00343789">
        <w:rPr>
          <w:rFonts w:ascii="Garamond" w:hAnsi="Garamond" w:cs="Gisha"/>
          <w:sz w:val="24"/>
          <w:szCs w:val="24"/>
        </w:rPr>
        <w:t xml:space="preserve"> </w:t>
      </w:r>
      <w:r w:rsidRPr="003C537E">
        <w:rPr>
          <w:rFonts w:ascii="Garamond" w:hAnsi="Garamond" w:cs="Gisha"/>
          <w:sz w:val="24"/>
          <w:szCs w:val="24"/>
        </w:rPr>
        <w:t>trade</w:t>
      </w:r>
      <w:r w:rsidR="00825099">
        <w:rPr>
          <w:rFonts w:ascii="Garamond" w:hAnsi="Garamond" w:cs="Gisha"/>
          <w:sz w:val="24"/>
          <w:szCs w:val="24"/>
        </w:rPr>
        <w:t>.</w:t>
      </w:r>
      <w:r w:rsidRPr="003C537E">
        <w:rPr>
          <w:rFonts w:ascii="Garamond" w:hAnsi="Garamond" w:cs="Gisha"/>
          <w:sz w:val="24"/>
          <w:szCs w:val="24"/>
        </w:rPr>
        <w:t xml:space="preserve"> </w:t>
      </w:r>
      <w:r w:rsidR="005651E8">
        <w:rPr>
          <w:rFonts w:ascii="Garamond" w:hAnsi="Garamond" w:cs="Gisha"/>
          <w:sz w:val="24"/>
          <w:szCs w:val="24"/>
        </w:rPr>
        <w:t>And we</w:t>
      </w:r>
      <w:r w:rsidR="00825099">
        <w:rPr>
          <w:rFonts w:ascii="Garamond" w:hAnsi="Garamond" w:cs="Gisha"/>
          <w:sz w:val="24"/>
          <w:szCs w:val="24"/>
        </w:rPr>
        <w:t xml:space="preserve"> consider whether or not the causes of downswings are different from the causes </w:t>
      </w:r>
      <w:r w:rsidR="00F24E16">
        <w:rPr>
          <w:rFonts w:ascii="Garamond" w:hAnsi="Garamond" w:cs="Gisha"/>
          <w:sz w:val="24"/>
          <w:szCs w:val="24"/>
        </w:rPr>
        <w:t>of upswings.</w:t>
      </w:r>
    </w:p>
    <w:p w:rsidR="005F1BBA" w:rsidRPr="006C39BF" w:rsidRDefault="005F1BBA" w:rsidP="00186FC5">
      <w:pPr>
        <w:rPr>
          <w:rFonts w:ascii="Bookman Old Style" w:eastAsia="Calibri" w:hAnsi="Bookman Old Style" w:cs="Times New Roman"/>
          <w:color w:val="FF0000"/>
          <w:sz w:val="6"/>
          <w:szCs w:val="44"/>
        </w:rPr>
      </w:pPr>
    </w:p>
    <w:p w:rsidR="00F84106" w:rsidRDefault="00F84106" w:rsidP="005C3BC3">
      <w:pPr>
        <w:ind w:firstLine="720"/>
        <w:rPr>
          <w:rFonts w:ascii="Garamond" w:hAnsi="Garamond" w:cs="Gisha"/>
          <w:sz w:val="24"/>
          <w:szCs w:val="24"/>
        </w:rPr>
      </w:pPr>
      <w:r>
        <w:rPr>
          <w:rFonts w:ascii="Garamond" w:hAnsi="Garamond" w:cs="Gisha"/>
          <w:sz w:val="24"/>
          <w:szCs w:val="24"/>
        </w:rPr>
        <w:t xml:space="preserve">In earlier work (Inoue </w:t>
      </w:r>
      <w:r w:rsidRPr="00F84106">
        <w:rPr>
          <w:rFonts w:ascii="Garamond" w:hAnsi="Garamond" w:cs="Gisha"/>
          <w:i/>
          <w:sz w:val="24"/>
          <w:szCs w:val="24"/>
        </w:rPr>
        <w:t>et al</w:t>
      </w:r>
      <w:r>
        <w:rPr>
          <w:rFonts w:ascii="Garamond" w:hAnsi="Garamond" w:cs="Gisha"/>
          <w:sz w:val="24"/>
          <w:szCs w:val="24"/>
        </w:rPr>
        <w:t xml:space="preserve"> 2012, 2015) we have identified </w:t>
      </w:r>
      <w:r w:rsidR="00FD26C1">
        <w:rPr>
          <w:rFonts w:ascii="Garamond" w:hAnsi="Garamond" w:cs="Gisha"/>
          <w:sz w:val="24"/>
          <w:szCs w:val="24"/>
        </w:rPr>
        <w:t>big</w:t>
      </w:r>
      <w:r>
        <w:rPr>
          <w:rFonts w:ascii="Garamond" w:hAnsi="Garamond" w:cs="Gisha"/>
          <w:sz w:val="24"/>
          <w:szCs w:val="24"/>
        </w:rPr>
        <w:t xml:space="preserve"> changes in the sizes of the largest settlements and polities in PMNs and world regions, which we call sweeps. An upsweep is an increase in size that is at least 1/3 larger than the size of the three earlier size peaks. But these upsweeps are somewhat rare. We found a total of </w:t>
      </w:r>
      <w:r w:rsidR="003952B9">
        <w:rPr>
          <w:rFonts w:ascii="Garamond" w:hAnsi="Garamond" w:cs="Gisha"/>
          <w:sz w:val="24"/>
          <w:szCs w:val="24"/>
        </w:rPr>
        <w:t xml:space="preserve">eighteen urban upsweeps in the five PMNs studied (Inoue 2015: Table 7) while there were thirty-six upswings. And we found only five </w:t>
      </w:r>
      <w:r w:rsidR="00866DD4">
        <w:rPr>
          <w:rFonts w:ascii="Garamond" w:hAnsi="Garamond" w:cs="Gisha"/>
          <w:sz w:val="24"/>
          <w:szCs w:val="24"/>
        </w:rPr>
        <w:t xml:space="preserve">urban </w:t>
      </w:r>
      <w:proofErr w:type="spellStart"/>
      <w:r w:rsidR="003952B9">
        <w:rPr>
          <w:rFonts w:ascii="Garamond" w:hAnsi="Garamond" w:cs="Gisha"/>
          <w:sz w:val="24"/>
          <w:szCs w:val="24"/>
        </w:rPr>
        <w:t>downsweeps</w:t>
      </w:r>
      <w:proofErr w:type="spellEnd"/>
      <w:r w:rsidR="00866DD4">
        <w:rPr>
          <w:rStyle w:val="FootnoteReference"/>
          <w:rFonts w:ascii="Garamond" w:hAnsi="Garamond" w:cs="Gisha"/>
          <w:sz w:val="24"/>
          <w:szCs w:val="24"/>
        </w:rPr>
        <w:footnoteReference w:id="1"/>
      </w:r>
      <w:r w:rsidR="003952B9">
        <w:rPr>
          <w:rFonts w:ascii="Garamond" w:hAnsi="Garamond" w:cs="Gisha"/>
          <w:sz w:val="24"/>
          <w:szCs w:val="24"/>
        </w:rPr>
        <w:t>, while there were thirty-two downswings (Inoue 2015: Table 8).  Regard</w:t>
      </w:r>
      <w:r w:rsidR="002E572B">
        <w:rPr>
          <w:rFonts w:ascii="Garamond" w:hAnsi="Garamond" w:cs="Gisha"/>
          <w:sz w:val="24"/>
          <w:szCs w:val="24"/>
        </w:rPr>
        <w:t xml:space="preserve">ing polity size changes, we found twenty-two upsweeps and fifty-nine upswings (Inoue 2012: Table 1); and nineteen </w:t>
      </w:r>
      <w:proofErr w:type="spellStart"/>
      <w:r w:rsidR="002E572B">
        <w:rPr>
          <w:rFonts w:ascii="Garamond" w:hAnsi="Garamond" w:cs="Gisha"/>
          <w:sz w:val="24"/>
          <w:szCs w:val="24"/>
        </w:rPr>
        <w:t>downsweeps</w:t>
      </w:r>
      <w:proofErr w:type="spellEnd"/>
      <w:r w:rsidR="002E572B">
        <w:rPr>
          <w:rFonts w:ascii="Garamond" w:hAnsi="Garamond" w:cs="Gisha"/>
          <w:sz w:val="24"/>
          <w:szCs w:val="24"/>
        </w:rPr>
        <w:t xml:space="preserve"> versus fifty-eight downswings (Inoue 2012: Table 2).</w:t>
      </w:r>
      <w:r w:rsidR="00BD10F1">
        <w:rPr>
          <w:rFonts w:ascii="Garamond" w:hAnsi="Garamond" w:cs="Gisha"/>
          <w:sz w:val="24"/>
          <w:szCs w:val="24"/>
        </w:rPr>
        <w:t xml:space="preserve"> The questions we are asking in this paper, which uses</w:t>
      </w:r>
      <w:r w:rsidR="00343789">
        <w:rPr>
          <w:rFonts w:ascii="Garamond" w:hAnsi="Garamond" w:cs="Gisha"/>
          <w:sz w:val="24"/>
          <w:szCs w:val="24"/>
        </w:rPr>
        <w:t xml:space="preserve"> whole</w:t>
      </w:r>
      <w:r w:rsidR="00BD10F1">
        <w:rPr>
          <w:rFonts w:ascii="Garamond" w:hAnsi="Garamond" w:cs="Gisha"/>
          <w:sz w:val="24"/>
          <w:szCs w:val="24"/>
        </w:rPr>
        <w:t xml:space="preserve"> interpolity systemic networks as the unit of analysis, are: what are the causal relationships between changes in the sizes of largest cities and empires? Does empire growth cause city growth? Does city growth cause empire growth? And what are the other causes of these size changes? Our earlier work identifies and focusses on sweeps because it is these large changes that constitute the instances that account for the long-term trends toward larger settlements and larger polities. But we also would like to know the patterns and causes of sm</w:t>
      </w:r>
      <w:r w:rsidR="008B4612">
        <w:rPr>
          <w:rFonts w:ascii="Garamond" w:hAnsi="Garamond" w:cs="Gisha"/>
          <w:sz w:val="24"/>
          <w:szCs w:val="24"/>
        </w:rPr>
        <w:t xml:space="preserve">aller scale changes, and so here we </w:t>
      </w:r>
      <w:r w:rsidR="00BD10F1">
        <w:rPr>
          <w:rFonts w:ascii="Garamond" w:hAnsi="Garamond" w:cs="Gisha"/>
          <w:sz w:val="24"/>
          <w:szCs w:val="24"/>
        </w:rPr>
        <w:t xml:space="preserve">analyze swings and compare them with sweeps. </w:t>
      </w:r>
    </w:p>
    <w:p w:rsidR="007D4787" w:rsidRPr="007D4787" w:rsidRDefault="007D4787" w:rsidP="007D4787">
      <w:pPr>
        <w:ind w:firstLine="720"/>
        <w:jc w:val="both"/>
        <w:rPr>
          <w:rFonts w:ascii="Garamond" w:hAnsi="Garamond"/>
          <w:sz w:val="24"/>
          <w:szCs w:val="24"/>
        </w:rPr>
      </w:pPr>
      <w:r w:rsidRPr="007D4787">
        <w:rPr>
          <w:rFonts w:ascii="Garamond" w:hAnsi="Garamond"/>
          <w:sz w:val="24"/>
          <w:szCs w:val="24"/>
        </w:rPr>
        <w:t xml:space="preserve">We </w:t>
      </w:r>
      <w:r w:rsidR="008B4612">
        <w:rPr>
          <w:rFonts w:ascii="Garamond" w:hAnsi="Garamond"/>
          <w:sz w:val="24"/>
          <w:szCs w:val="24"/>
        </w:rPr>
        <w:t>deploy</w:t>
      </w:r>
      <w:r w:rsidRPr="007D4787">
        <w:rPr>
          <w:rFonts w:ascii="Garamond" w:hAnsi="Garamond"/>
          <w:sz w:val="24"/>
          <w:szCs w:val="24"/>
        </w:rPr>
        <w:t xml:space="preserve"> the </w:t>
      </w:r>
      <w:r>
        <w:rPr>
          <w:rFonts w:ascii="Garamond" w:hAnsi="Garamond"/>
          <w:sz w:val="24"/>
          <w:szCs w:val="24"/>
        </w:rPr>
        <w:t xml:space="preserve">comparative </w:t>
      </w:r>
      <w:r w:rsidRPr="007D4787">
        <w:rPr>
          <w:rFonts w:ascii="Garamond" w:hAnsi="Garamond"/>
          <w:sz w:val="24"/>
          <w:szCs w:val="24"/>
        </w:rPr>
        <w:t xml:space="preserve">evolutionary world-systems perspective (Chase-Dunn and Hall 1997; Chase-Dunn and </w:t>
      </w:r>
      <w:proofErr w:type="spellStart"/>
      <w:r w:rsidRPr="007D4787">
        <w:rPr>
          <w:rFonts w:ascii="Garamond" w:hAnsi="Garamond"/>
          <w:sz w:val="24"/>
          <w:szCs w:val="24"/>
        </w:rPr>
        <w:t>Lerro</w:t>
      </w:r>
      <w:proofErr w:type="spellEnd"/>
      <w:r w:rsidRPr="007D4787">
        <w:rPr>
          <w:rFonts w:ascii="Garamond" w:hAnsi="Garamond"/>
          <w:sz w:val="24"/>
          <w:szCs w:val="24"/>
        </w:rPr>
        <w:t xml:space="preserve"> 2014) to </w:t>
      </w:r>
      <w:r>
        <w:rPr>
          <w:rFonts w:ascii="Garamond" w:hAnsi="Garamond"/>
          <w:sz w:val="24"/>
          <w:szCs w:val="24"/>
        </w:rPr>
        <w:t>study and compare</w:t>
      </w:r>
      <w:r w:rsidRPr="007D4787">
        <w:rPr>
          <w:rFonts w:ascii="Garamond" w:hAnsi="Garamond"/>
          <w:sz w:val="24"/>
          <w:szCs w:val="24"/>
        </w:rPr>
        <w:t xml:space="preserve"> relatively small regional world-systems</w:t>
      </w:r>
      <w:r w:rsidRPr="007D4787">
        <w:rPr>
          <w:rStyle w:val="FootnoteReference"/>
          <w:rFonts w:ascii="Garamond" w:hAnsi="Garamond"/>
          <w:sz w:val="24"/>
          <w:szCs w:val="24"/>
        </w:rPr>
        <w:footnoteReference w:id="2"/>
      </w:r>
      <w:r w:rsidRPr="007D4787">
        <w:rPr>
          <w:rFonts w:ascii="Garamond" w:hAnsi="Garamond"/>
          <w:sz w:val="24"/>
          <w:szCs w:val="24"/>
        </w:rPr>
        <w:t xml:space="preserve"> with larger continental and global systems in order to study sociocultural evolution. T</w:t>
      </w:r>
      <w:r w:rsidR="007840A6">
        <w:rPr>
          <w:rFonts w:ascii="Garamond" w:hAnsi="Garamond"/>
          <w:sz w:val="24"/>
          <w:szCs w:val="24"/>
        </w:rPr>
        <w:t>he concepts of the world-system</w:t>
      </w:r>
      <w:r w:rsidRPr="007D4787">
        <w:rPr>
          <w:rFonts w:ascii="Garamond" w:hAnsi="Garamond"/>
          <w:sz w:val="24"/>
          <w:szCs w:val="24"/>
        </w:rPr>
        <w:t xml:space="preserve"> perspective as developed by Immanuel Wallerstein and others have been broadened to be useful for the ana</w:t>
      </w:r>
      <w:r w:rsidR="0086397B">
        <w:rPr>
          <w:rFonts w:ascii="Garamond" w:hAnsi="Garamond"/>
          <w:sz w:val="24"/>
          <w:szCs w:val="24"/>
        </w:rPr>
        <w:t>lysis of pre-capitalist</w:t>
      </w:r>
      <w:r w:rsidRPr="007D4787">
        <w:rPr>
          <w:rFonts w:ascii="Garamond" w:hAnsi="Garamond"/>
          <w:sz w:val="24"/>
          <w:szCs w:val="24"/>
        </w:rPr>
        <w:t xml:space="preserve"> systems</w:t>
      </w:r>
      <w:r w:rsidR="0086397B">
        <w:rPr>
          <w:rFonts w:ascii="Garamond" w:hAnsi="Garamond"/>
          <w:sz w:val="24"/>
          <w:szCs w:val="24"/>
        </w:rPr>
        <w:t xml:space="preserve">. </w:t>
      </w:r>
      <w:r w:rsidRPr="007D4787">
        <w:rPr>
          <w:rFonts w:ascii="Garamond" w:hAnsi="Garamond"/>
          <w:sz w:val="24"/>
          <w:szCs w:val="24"/>
        </w:rPr>
        <w:t xml:space="preserve"> Thus we must be able to abstract from scale in order to examine changes in the structural patterns of small, medium and large whole human interaction networks. But in this article we focus on </w:t>
      </w:r>
      <w:r w:rsidRPr="007D4787">
        <w:rPr>
          <w:rFonts w:ascii="Garamond" w:hAnsi="Garamond"/>
          <w:b/>
          <w:sz w:val="24"/>
          <w:szCs w:val="24"/>
        </w:rPr>
        <w:t>medium-term change in the scale of settlements</w:t>
      </w:r>
      <w:r w:rsidR="00AF30BB">
        <w:rPr>
          <w:rFonts w:ascii="Garamond" w:hAnsi="Garamond"/>
          <w:b/>
          <w:sz w:val="24"/>
          <w:szCs w:val="24"/>
        </w:rPr>
        <w:t xml:space="preserve"> and polities</w:t>
      </w:r>
      <w:r w:rsidRPr="007D4787">
        <w:rPr>
          <w:rFonts w:ascii="Garamond" w:hAnsi="Garamond"/>
          <w:sz w:val="24"/>
          <w:szCs w:val="24"/>
        </w:rPr>
        <w:t>.</w:t>
      </w:r>
      <w:r w:rsidRPr="007D4787">
        <w:rPr>
          <w:rStyle w:val="FootnoteReference"/>
          <w:rFonts w:ascii="Garamond" w:hAnsi="Garamond"/>
          <w:sz w:val="24"/>
          <w:szCs w:val="24"/>
        </w:rPr>
        <w:footnoteReference w:id="3"/>
      </w:r>
      <w:r w:rsidRPr="007D4787">
        <w:rPr>
          <w:rFonts w:ascii="Garamond" w:hAnsi="Garamond"/>
          <w:sz w:val="24"/>
          <w:szCs w:val="24"/>
        </w:rPr>
        <w:t xml:space="preserve"> </w:t>
      </w:r>
    </w:p>
    <w:p w:rsidR="007D4787" w:rsidRPr="007D4787" w:rsidRDefault="007D4787" w:rsidP="007D4787">
      <w:pPr>
        <w:ind w:firstLine="720"/>
        <w:jc w:val="both"/>
        <w:rPr>
          <w:rFonts w:ascii="Garamond" w:hAnsi="Garamond"/>
          <w:sz w:val="24"/>
          <w:szCs w:val="24"/>
        </w:rPr>
      </w:pPr>
      <w:r w:rsidRPr="007D4787">
        <w:rPr>
          <w:rFonts w:ascii="Garamond" w:hAnsi="Garamond"/>
          <w:sz w:val="24"/>
          <w:szCs w:val="24"/>
        </w:rPr>
        <w:t xml:space="preserve">In the long run human settlements have tended to get larger, but our research </w:t>
      </w:r>
      <w:r w:rsidR="0086397B">
        <w:rPr>
          <w:rFonts w:ascii="Garamond" w:hAnsi="Garamond"/>
          <w:sz w:val="24"/>
          <w:szCs w:val="24"/>
        </w:rPr>
        <w:t xml:space="preserve">has </w:t>
      </w:r>
      <w:r w:rsidRPr="007D4787">
        <w:rPr>
          <w:rFonts w:ascii="Garamond" w:hAnsi="Garamond"/>
          <w:sz w:val="24"/>
          <w:szCs w:val="24"/>
        </w:rPr>
        <w:t>focuses on medium-term sequences of growth and decline in order to identify those upward sweeps (upsweeps) in which the scale significantly increased. Accurate ide</w:t>
      </w:r>
      <w:r w:rsidR="0086397B">
        <w:rPr>
          <w:rFonts w:ascii="Garamond" w:hAnsi="Garamond"/>
          <w:sz w:val="24"/>
          <w:szCs w:val="24"/>
        </w:rPr>
        <w:t>ntification of these events</w:t>
      </w:r>
      <w:r w:rsidRPr="007D4787">
        <w:rPr>
          <w:rFonts w:ascii="Garamond" w:hAnsi="Garamond"/>
          <w:sz w:val="24"/>
          <w:szCs w:val="24"/>
        </w:rPr>
        <w:t xml:space="preserve"> facilitate</w:t>
      </w:r>
      <w:r w:rsidR="0086397B">
        <w:rPr>
          <w:rFonts w:ascii="Garamond" w:hAnsi="Garamond"/>
          <w:sz w:val="24"/>
          <w:szCs w:val="24"/>
        </w:rPr>
        <w:t>s</w:t>
      </w:r>
      <w:r w:rsidRPr="007D4787">
        <w:rPr>
          <w:rFonts w:ascii="Garamond" w:hAnsi="Garamond"/>
          <w:sz w:val="24"/>
          <w:szCs w:val="24"/>
        </w:rPr>
        <w:t xml:space="preserve"> our understanding of sociocu</w:t>
      </w:r>
      <w:r w:rsidR="0086397B">
        <w:rPr>
          <w:rFonts w:ascii="Garamond" w:hAnsi="Garamond"/>
          <w:sz w:val="24"/>
          <w:szCs w:val="24"/>
        </w:rPr>
        <w:t>ltural evolution because these we</w:t>
      </w:r>
      <w:r w:rsidRPr="007D4787">
        <w:rPr>
          <w:rFonts w:ascii="Garamond" w:hAnsi="Garamond"/>
          <w:sz w:val="24"/>
          <w:szCs w:val="24"/>
        </w:rPr>
        <w:t xml:space="preserve">re the events that </w:t>
      </w:r>
      <w:r w:rsidR="0086397B">
        <w:rPr>
          <w:rFonts w:ascii="Garamond" w:hAnsi="Garamond"/>
          <w:sz w:val="24"/>
          <w:szCs w:val="24"/>
        </w:rPr>
        <w:t xml:space="preserve">constituted an important part of </w:t>
      </w:r>
      <w:r w:rsidRPr="007D4787">
        <w:rPr>
          <w:rFonts w:ascii="Garamond" w:hAnsi="Garamond"/>
          <w:sz w:val="24"/>
          <w:szCs w:val="24"/>
        </w:rPr>
        <w:t>the long-term trend toward larger</w:t>
      </w:r>
      <w:r w:rsidR="0086397B">
        <w:rPr>
          <w:rFonts w:ascii="Garamond" w:hAnsi="Garamond"/>
          <w:sz w:val="24"/>
          <w:szCs w:val="24"/>
        </w:rPr>
        <w:t>,</w:t>
      </w:r>
      <w:r w:rsidRPr="007D4787">
        <w:rPr>
          <w:rFonts w:ascii="Garamond" w:hAnsi="Garamond"/>
          <w:sz w:val="24"/>
          <w:szCs w:val="24"/>
        </w:rPr>
        <w:t xml:space="preserve"> more complex</w:t>
      </w:r>
      <w:r w:rsidR="0086397B">
        <w:rPr>
          <w:rFonts w:ascii="Garamond" w:hAnsi="Garamond"/>
          <w:sz w:val="24"/>
          <w:szCs w:val="24"/>
        </w:rPr>
        <w:t xml:space="preserve"> and more hierarchical human social institutions.</w:t>
      </w:r>
      <w:r w:rsidRPr="007D4787">
        <w:rPr>
          <w:rFonts w:ascii="Garamond" w:hAnsi="Garamond"/>
          <w:sz w:val="24"/>
          <w:szCs w:val="24"/>
          <w:vertAlign w:val="superscript"/>
        </w:rPr>
        <w:footnoteReference w:id="4"/>
      </w:r>
      <w:r w:rsidRPr="007D4787">
        <w:rPr>
          <w:rFonts w:ascii="Garamond" w:hAnsi="Garamond"/>
          <w:sz w:val="24"/>
          <w:szCs w:val="24"/>
        </w:rPr>
        <w:t xml:space="preserve"> </w:t>
      </w:r>
    </w:p>
    <w:p w:rsidR="007D4787" w:rsidRPr="007D4787" w:rsidRDefault="007D4787" w:rsidP="007D4787">
      <w:pPr>
        <w:ind w:firstLine="720"/>
        <w:jc w:val="both"/>
        <w:rPr>
          <w:rFonts w:ascii="Garamond" w:hAnsi="Garamond"/>
          <w:sz w:val="24"/>
          <w:szCs w:val="24"/>
        </w:rPr>
      </w:pPr>
      <w:r w:rsidRPr="007D4787">
        <w:rPr>
          <w:rFonts w:ascii="Garamond" w:hAnsi="Garamond"/>
          <w:sz w:val="24"/>
          <w:szCs w:val="24"/>
        </w:rPr>
        <w:lastRenderedPageBreak/>
        <w:t xml:space="preserve"> World-systems are interacting sets of polities</w:t>
      </w:r>
      <w:r w:rsidRPr="007D4787">
        <w:rPr>
          <w:rStyle w:val="FootnoteReference"/>
          <w:rFonts w:ascii="Garamond" w:hAnsi="Garamond"/>
          <w:sz w:val="24"/>
          <w:szCs w:val="24"/>
        </w:rPr>
        <w:footnoteReference w:id="5"/>
      </w:r>
      <w:r w:rsidR="00C762B9">
        <w:rPr>
          <w:rFonts w:ascii="Garamond" w:hAnsi="Garamond"/>
          <w:sz w:val="24"/>
          <w:szCs w:val="24"/>
        </w:rPr>
        <w:t xml:space="preserve"> and settlements. M</w:t>
      </w:r>
      <w:r w:rsidRPr="007D4787">
        <w:rPr>
          <w:rFonts w:ascii="Garamond" w:hAnsi="Garamond"/>
          <w:sz w:val="24"/>
          <w:szCs w:val="24"/>
        </w:rPr>
        <w:t>any, but not all, world-systems are organized as core/periphery hierarchies in which some polities exploit and dominate the populations of o</w:t>
      </w:r>
      <w:r w:rsidR="005649E1">
        <w:rPr>
          <w:rFonts w:ascii="Garamond" w:hAnsi="Garamond"/>
          <w:sz w:val="24"/>
          <w:szCs w:val="24"/>
        </w:rPr>
        <w:t xml:space="preserve">ther polities. </w:t>
      </w:r>
      <w:proofErr w:type="spellStart"/>
      <w:r w:rsidRPr="007D4787">
        <w:rPr>
          <w:rFonts w:ascii="Garamond" w:hAnsi="Garamond"/>
          <w:sz w:val="24"/>
          <w:szCs w:val="24"/>
        </w:rPr>
        <w:t>Semiperipherality</w:t>
      </w:r>
      <w:proofErr w:type="spellEnd"/>
      <w:r w:rsidRPr="007D4787">
        <w:rPr>
          <w:rFonts w:ascii="Garamond" w:hAnsi="Garamond"/>
          <w:sz w:val="24"/>
          <w:szCs w:val="24"/>
        </w:rPr>
        <w:t xml:space="preserve"> is an intermediate position within such a core/periphery hierarchy. When we study whole </w:t>
      </w:r>
      <w:r w:rsidR="00C61189">
        <w:rPr>
          <w:rFonts w:ascii="Garamond" w:hAnsi="Garamond"/>
          <w:sz w:val="24"/>
          <w:szCs w:val="24"/>
        </w:rPr>
        <w:t xml:space="preserve">interstate </w:t>
      </w:r>
      <w:r w:rsidRPr="007D4787">
        <w:rPr>
          <w:rFonts w:ascii="Garamond" w:hAnsi="Garamond"/>
          <w:sz w:val="24"/>
          <w:szCs w:val="24"/>
        </w:rPr>
        <w:t xml:space="preserve">systems we see that they all oscillate in what we call </w:t>
      </w:r>
      <w:r w:rsidRPr="007D4787">
        <w:rPr>
          <w:rFonts w:ascii="Garamond" w:hAnsi="Garamond"/>
          <w:b/>
          <w:sz w:val="24"/>
          <w:szCs w:val="24"/>
        </w:rPr>
        <w:t xml:space="preserve">a normal </w:t>
      </w:r>
      <w:r w:rsidR="00D83A3F" w:rsidRPr="007D4787">
        <w:rPr>
          <w:rFonts w:ascii="Garamond" w:hAnsi="Garamond"/>
          <w:b/>
          <w:sz w:val="24"/>
          <w:szCs w:val="24"/>
        </w:rPr>
        <w:t>cycle</w:t>
      </w:r>
      <w:r w:rsidRPr="007D4787">
        <w:rPr>
          <w:rFonts w:ascii="Garamond" w:hAnsi="Garamond"/>
          <w:b/>
          <w:sz w:val="24"/>
          <w:szCs w:val="24"/>
        </w:rPr>
        <w:t xml:space="preserve"> of growth and decline </w:t>
      </w:r>
      <w:r w:rsidRPr="007D4787">
        <w:rPr>
          <w:rFonts w:ascii="Garamond" w:hAnsi="Garamond"/>
          <w:sz w:val="24"/>
          <w:szCs w:val="24"/>
        </w:rPr>
        <w:t>(see Figure 1). The largest settlement</w:t>
      </w:r>
      <w:r w:rsidR="00C61189">
        <w:rPr>
          <w:rFonts w:ascii="Garamond" w:hAnsi="Garamond"/>
          <w:sz w:val="24"/>
          <w:szCs w:val="24"/>
        </w:rPr>
        <w:t xml:space="preserve"> or polity</w:t>
      </w:r>
      <w:r w:rsidRPr="007D4787">
        <w:rPr>
          <w:rFonts w:ascii="Garamond" w:hAnsi="Garamond"/>
          <w:sz w:val="24"/>
          <w:szCs w:val="24"/>
        </w:rPr>
        <w:t xml:space="preserve"> in each region reaches a peak size and then declines and then this</w:t>
      </w:r>
      <w:r w:rsidR="00175E48">
        <w:rPr>
          <w:rFonts w:ascii="Garamond" w:hAnsi="Garamond"/>
          <w:sz w:val="24"/>
          <w:szCs w:val="24"/>
        </w:rPr>
        <w:t>,</w:t>
      </w:r>
      <w:r w:rsidRPr="007D4787">
        <w:rPr>
          <w:rFonts w:ascii="Garamond" w:hAnsi="Garamond"/>
          <w:sz w:val="24"/>
          <w:szCs w:val="24"/>
        </w:rPr>
        <w:t xml:space="preserve"> or another</w:t>
      </w:r>
      <w:r w:rsidR="00175E48">
        <w:rPr>
          <w:rFonts w:ascii="Garamond" w:hAnsi="Garamond"/>
          <w:sz w:val="24"/>
          <w:szCs w:val="24"/>
        </w:rPr>
        <w:t>,</w:t>
      </w:r>
      <w:r w:rsidRPr="007D4787">
        <w:rPr>
          <w:rFonts w:ascii="Garamond" w:hAnsi="Garamond"/>
          <w:sz w:val="24"/>
          <w:szCs w:val="24"/>
        </w:rPr>
        <w:t xml:space="preserve"> settlement</w:t>
      </w:r>
      <w:r w:rsidR="00C61189">
        <w:rPr>
          <w:rFonts w:ascii="Garamond" w:hAnsi="Garamond"/>
          <w:sz w:val="24"/>
          <w:szCs w:val="24"/>
        </w:rPr>
        <w:t xml:space="preserve"> or polity</w:t>
      </w:r>
      <w:r w:rsidRPr="007D4787">
        <w:rPr>
          <w:rFonts w:ascii="Garamond" w:hAnsi="Garamond"/>
          <w:sz w:val="24"/>
          <w:szCs w:val="24"/>
        </w:rPr>
        <w:t xml:space="preserve"> returns to the peak size again. These cycles are usually not observed by looking at single settlements</w:t>
      </w:r>
      <w:r w:rsidR="00C61189">
        <w:rPr>
          <w:rFonts w:ascii="Garamond" w:hAnsi="Garamond"/>
          <w:sz w:val="24"/>
          <w:szCs w:val="24"/>
        </w:rPr>
        <w:t xml:space="preserve"> or polities</w:t>
      </w:r>
      <w:r w:rsidRPr="007D4787">
        <w:rPr>
          <w:rFonts w:ascii="Garamond" w:hAnsi="Garamond"/>
          <w:sz w:val="24"/>
          <w:szCs w:val="24"/>
        </w:rPr>
        <w:t xml:space="preserve"> in isolation, but rather by looking at the largest settlement</w:t>
      </w:r>
      <w:r w:rsidR="00C61189">
        <w:rPr>
          <w:rFonts w:ascii="Garamond" w:hAnsi="Garamond"/>
          <w:sz w:val="24"/>
          <w:szCs w:val="24"/>
        </w:rPr>
        <w:t xml:space="preserve"> or polity</w:t>
      </w:r>
      <w:r w:rsidRPr="007D4787">
        <w:rPr>
          <w:rFonts w:ascii="Garamond" w:hAnsi="Garamond"/>
          <w:sz w:val="24"/>
          <w:szCs w:val="24"/>
        </w:rPr>
        <w:t xml:space="preserve"> within </w:t>
      </w:r>
      <w:r w:rsidR="00C61189">
        <w:rPr>
          <w:rFonts w:ascii="Garamond" w:hAnsi="Garamond"/>
          <w:sz w:val="24"/>
          <w:szCs w:val="24"/>
        </w:rPr>
        <w:t>each</w:t>
      </w:r>
      <w:r w:rsidRPr="007D4787">
        <w:rPr>
          <w:rFonts w:ascii="Garamond" w:hAnsi="Garamond"/>
          <w:sz w:val="24"/>
          <w:szCs w:val="24"/>
        </w:rPr>
        <w:t xml:space="preserve"> region of interaction.</w:t>
      </w:r>
      <w:r w:rsidRPr="007D4787">
        <w:rPr>
          <w:rStyle w:val="FootnoteReference"/>
          <w:rFonts w:ascii="Garamond" w:hAnsi="Garamond"/>
          <w:sz w:val="24"/>
          <w:szCs w:val="24"/>
        </w:rPr>
        <w:footnoteReference w:id="6"/>
      </w:r>
    </w:p>
    <w:p w:rsidR="007D4787" w:rsidRDefault="008B4612" w:rsidP="007D4787">
      <w:pPr>
        <w:ind w:firstLine="720"/>
        <w:jc w:val="both"/>
        <w:rPr>
          <w:rFonts w:ascii="Garamond" w:hAnsi="Garamond"/>
          <w:sz w:val="24"/>
          <w:szCs w:val="24"/>
        </w:rPr>
      </w:pPr>
      <w:r>
        <w:rPr>
          <w:rFonts w:ascii="Garamond" w:hAnsi="Garamond"/>
          <w:noProof/>
          <w:sz w:val="24"/>
          <w:szCs w:val="24"/>
          <w:lang w:eastAsia="en-US"/>
        </w:rPr>
        <w:drawing>
          <wp:inline distT="0" distB="0" distL="0" distR="0">
            <wp:extent cx="6394808" cy="44005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scalechanges.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4404674"/>
                    </a:xfrm>
                    <a:prstGeom prst="rect">
                      <a:avLst/>
                    </a:prstGeom>
                  </pic:spPr>
                </pic:pic>
              </a:graphicData>
            </a:graphic>
          </wp:inline>
        </w:drawing>
      </w:r>
    </w:p>
    <w:p w:rsidR="00300907" w:rsidRPr="007D4787" w:rsidRDefault="00300907" w:rsidP="00300907">
      <w:pPr>
        <w:pStyle w:val="Caption"/>
        <w:spacing w:before="0" w:after="0"/>
        <w:rPr>
          <w:rFonts w:ascii="Garamond" w:hAnsi="Garamond"/>
          <w:sz w:val="24"/>
          <w:szCs w:val="24"/>
        </w:rPr>
      </w:pPr>
      <w:r w:rsidRPr="007D4787">
        <w:rPr>
          <w:rFonts w:ascii="Garamond" w:hAnsi="Garamond"/>
          <w:sz w:val="24"/>
          <w:szCs w:val="24"/>
        </w:rPr>
        <w:t xml:space="preserve">Fig. </w:t>
      </w:r>
      <w:r w:rsidRPr="007D4787">
        <w:rPr>
          <w:rFonts w:ascii="Garamond" w:hAnsi="Garamond"/>
          <w:sz w:val="24"/>
          <w:szCs w:val="24"/>
        </w:rPr>
        <w:fldChar w:fldCharType="begin"/>
      </w:r>
      <w:r w:rsidRPr="007D4787">
        <w:rPr>
          <w:rFonts w:ascii="Garamond" w:hAnsi="Garamond"/>
          <w:sz w:val="24"/>
          <w:szCs w:val="24"/>
        </w:rPr>
        <w:instrText xml:space="preserve"> SEQ Figure \* ARABIC </w:instrText>
      </w:r>
      <w:r w:rsidRPr="007D4787">
        <w:rPr>
          <w:rFonts w:ascii="Garamond" w:hAnsi="Garamond"/>
          <w:sz w:val="24"/>
          <w:szCs w:val="24"/>
        </w:rPr>
        <w:fldChar w:fldCharType="separate"/>
      </w:r>
      <w:r>
        <w:rPr>
          <w:rFonts w:ascii="Garamond" w:hAnsi="Garamond"/>
          <w:noProof/>
          <w:sz w:val="24"/>
          <w:szCs w:val="24"/>
        </w:rPr>
        <w:t>1</w:t>
      </w:r>
      <w:r w:rsidRPr="007D4787">
        <w:rPr>
          <w:rFonts w:ascii="Garamond" w:hAnsi="Garamond"/>
          <w:sz w:val="24"/>
          <w:szCs w:val="24"/>
        </w:rPr>
        <w:fldChar w:fldCharType="end"/>
      </w:r>
      <w:r w:rsidRPr="007D4787">
        <w:rPr>
          <w:rFonts w:ascii="Garamond" w:hAnsi="Garamond"/>
          <w:sz w:val="24"/>
          <w:szCs w:val="24"/>
        </w:rPr>
        <w:t>. Types of Medium-term Scale Change in the Largest Settlement</w:t>
      </w:r>
      <w:r>
        <w:rPr>
          <w:rFonts w:ascii="Garamond" w:hAnsi="Garamond"/>
          <w:sz w:val="24"/>
          <w:szCs w:val="24"/>
        </w:rPr>
        <w:t xml:space="preserve">s or Polities </w:t>
      </w:r>
    </w:p>
    <w:p w:rsidR="007D4787" w:rsidRDefault="007D4787" w:rsidP="007D4787">
      <w:pPr>
        <w:ind w:firstLine="720"/>
        <w:jc w:val="both"/>
        <w:rPr>
          <w:rFonts w:ascii="Garamond" w:hAnsi="Garamond"/>
          <w:sz w:val="24"/>
          <w:szCs w:val="24"/>
        </w:rPr>
      </w:pPr>
      <w:r w:rsidRPr="007D4787">
        <w:rPr>
          <w:rFonts w:ascii="Garamond" w:hAnsi="Garamond"/>
          <w:sz w:val="24"/>
          <w:szCs w:val="24"/>
        </w:rPr>
        <w:t>In Figure 1 the normal cycle of growth and decline is half way down the figure and is labeled “normal growth and decline.” At the top of Figure 1 is a depiction of an upward sweep (upsweep) in which the size of the largest settlement</w:t>
      </w:r>
      <w:r w:rsidR="00C61189">
        <w:rPr>
          <w:rFonts w:ascii="Garamond" w:hAnsi="Garamond"/>
          <w:sz w:val="24"/>
          <w:szCs w:val="24"/>
        </w:rPr>
        <w:t xml:space="preserve"> or polity</w:t>
      </w:r>
      <w:r w:rsidRPr="007D4787">
        <w:rPr>
          <w:rFonts w:ascii="Garamond" w:hAnsi="Garamond"/>
          <w:sz w:val="24"/>
          <w:szCs w:val="24"/>
        </w:rPr>
        <w:t xml:space="preserve"> increases significantly.  When an upward movement is sustained and a higher level of scale becomes the new normal we call this an “upward sweep” or an “</w:t>
      </w:r>
      <w:r w:rsidRPr="007D4787">
        <w:rPr>
          <w:rFonts w:ascii="Garamond" w:hAnsi="Garamond"/>
          <w:b/>
          <w:sz w:val="24"/>
          <w:szCs w:val="24"/>
        </w:rPr>
        <w:t>upsweep</w:t>
      </w:r>
      <w:r w:rsidRPr="007D4787">
        <w:rPr>
          <w:rFonts w:ascii="Garamond" w:hAnsi="Garamond"/>
          <w:sz w:val="24"/>
          <w:szCs w:val="24"/>
        </w:rPr>
        <w:t xml:space="preserve">.” We define an upsweep as a peak that is </w:t>
      </w:r>
      <w:r w:rsidRPr="007D4787">
        <w:rPr>
          <w:rFonts w:ascii="Garamond" w:hAnsi="Garamond"/>
          <w:b/>
          <w:sz w:val="24"/>
          <w:szCs w:val="24"/>
        </w:rPr>
        <w:t xml:space="preserve">more than 1/3 higher than the average of the three immediately </w:t>
      </w:r>
      <w:r w:rsidRPr="007D4787">
        <w:rPr>
          <w:rFonts w:ascii="Garamond" w:hAnsi="Garamond"/>
          <w:b/>
          <w:sz w:val="24"/>
          <w:szCs w:val="24"/>
        </w:rPr>
        <w:lastRenderedPageBreak/>
        <w:t>earlier peaks</w:t>
      </w:r>
      <w:r w:rsidRPr="007D4787">
        <w:rPr>
          <w:rFonts w:ascii="Garamond" w:hAnsi="Garamond"/>
          <w:sz w:val="24"/>
          <w:szCs w:val="24"/>
        </w:rPr>
        <w:t>.</w:t>
      </w:r>
      <w:r w:rsidRPr="007D4787">
        <w:rPr>
          <w:rStyle w:val="FootnoteReference"/>
          <w:rFonts w:ascii="Garamond" w:hAnsi="Garamond"/>
          <w:sz w:val="24"/>
          <w:szCs w:val="24"/>
        </w:rPr>
        <w:footnoteReference w:id="7"/>
      </w:r>
      <w:r w:rsidRPr="007D4787">
        <w:rPr>
          <w:rFonts w:ascii="Garamond" w:hAnsi="Garamond"/>
          <w:sz w:val="24"/>
          <w:szCs w:val="24"/>
        </w:rPr>
        <w:t xml:space="preserve"> We distinguish between an “</w:t>
      </w:r>
      <w:r w:rsidRPr="007D4787">
        <w:rPr>
          <w:rFonts w:ascii="Garamond" w:hAnsi="Garamond"/>
          <w:b/>
          <w:sz w:val="24"/>
          <w:szCs w:val="24"/>
        </w:rPr>
        <w:t>upswing</w:t>
      </w:r>
      <w:r w:rsidRPr="007D4787">
        <w:rPr>
          <w:rFonts w:ascii="Garamond" w:hAnsi="Garamond"/>
          <w:sz w:val="24"/>
          <w:szCs w:val="24"/>
        </w:rPr>
        <w:t xml:space="preserve">,” which is any upturn in a growth/decline sequence, and an upsweep, which goes to a level that is more than 1/3 higher than the average of three prior peaks. </w:t>
      </w:r>
    </w:p>
    <w:p w:rsidR="001669C4" w:rsidRPr="00175E48" w:rsidRDefault="001669C4" w:rsidP="001669C4">
      <w:pPr>
        <w:jc w:val="both"/>
        <w:rPr>
          <w:rFonts w:ascii="Bookman Old Style" w:hAnsi="Bookman Old Style"/>
          <w:b/>
          <w:sz w:val="24"/>
          <w:szCs w:val="24"/>
        </w:rPr>
      </w:pPr>
      <w:r w:rsidRPr="00175E48">
        <w:rPr>
          <w:rFonts w:ascii="Bookman Old Style" w:hAnsi="Bookman Old Style"/>
          <w:b/>
          <w:sz w:val="24"/>
          <w:szCs w:val="24"/>
        </w:rPr>
        <w:t>Modeling the causes of polity and settlement scale changes</w:t>
      </w:r>
    </w:p>
    <w:p w:rsidR="008E25AD" w:rsidRDefault="001669C4" w:rsidP="001669C4">
      <w:pPr>
        <w:jc w:val="both"/>
        <w:rPr>
          <w:rFonts w:ascii="Garamond" w:hAnsi="Garamond"/>
          <w:sz w:val="24"/>
          <w:szCs w:val="24"/>
        </w:rPr>
      </w:pPr>
      <w:r>
        <w:rPr>
          <w:rFonts w:ascii="Bookman Old Style" w:hAnsi="Bookman Old Style"/>
          <w:sz w:val="24"/>
          <w:szCs w:val="24"/>
        </w:rPr>
        <w:tab/>
      </w:r>
      <w:r>
        <w:rPr>
          <w:rFonts w:ascii="Garamond" w:hAnsi="Garamond"/>
          <w:sz w:val="24"/>
          <w:szCs w:val="24"/>
        </w:rPr>
        <w:t>Our earlier research has shown that about half of the upsweeps of polity and settlement sizes were associated with the actions of non-core</w:t>
      </w:r>
      <w:r w:rsidR="00175E48">
        <w:rPr>
          <w:rFonts w:ascii="Garamond" w:hAnsi="Garamond"/>
          <w:sz w:val="24"/>
          <w:szCs w:val="24"/>
        </w:rPr>
        <w:t xml:space="preserve"> (peripheral or semiperipheral)</w:t>
      </w:r>
      <w:r>
        <w:rPr>
          <w:rFonts w:ascii="Garamond" w:hAnsi="Garamond"/>
          <w:sz w:val="24"/>
          <w:szCs w:val="24"/>
        </w:rPr>
        <w:t xml:space="preserve"> marcher states</w:t>
      </w:r>
      <w:r w:rsidR="00D373E1">
        <w:rPr>
          <w:rFonts w:ascii="Garamond" w:hAnsi="Garamond"/>
          <w:sz w:val="24"/>
          <w:szCs w:val="24"/>
        </w:rPr>
        <w:t xml:space="preserve"> (Inoue, </w:t>
      </w:r>
      <w:r w:rsidR="00D373E1" w:rsidRPr="00D373E1">
        <w:rPr>
          <w:rFonts w:ascii="Garamond" w:hAnsi="Garamond"/>
          <w:i/>
          <w:sz w:val="24"/>
          <w:szCs w:val="24"/>
        </w:rPr>
        <w:t>et al</w:t>
      </w:r>
      <w:r w:rsidR="00D373E1">
        <w:rPr>
          <w:rFonts w:ascii="Garamond" w:hAnsi="Garamond"/>
          <w:sz w:val="24"/>
          <w:szCs w:val="24"/>
        </w:rPr>
        <w:t xml:space="preserve"> 2016)</w:t>
      </w:r>
      <w:r>
        <w:rPr>
          <w:rFonts w:ascii="Garamond" w:hAnsi="Garamond"/>
          <w:sz w:val="24"/>
          <w:szCs w:val="24"/>
        </w:rPr>
        <w:t>. This confirms our hypothesis that core/periphery relations and uneven develop</w:t>
      </w:r>
      <w:r w:rsidR="006277F7">
        <w:rPr>
          <w:rFonts w:ascii="Garamond" w:hAnsi="Garamond"/>
          <w:sz w:val="24"/>
          <w:szCs w:val="24"/>
        </w:rPr>
        <w:t>ment</w:t>
      </w:r>
      <w:r>
        <w:rPr>
          <w:rFonts w:ascii="Garamond" w:hAnsi="Garamond"/>
          <w:sz w:val="24"/>
          <w:szCs w:val="24"/>
        </w:rPr>
        <w:t xml:space="preserve"> are important for explaining the emergence of complexity and hierarchy in world-systems, but it also shows that a significant portion of upsweeps were not associated with the actions of non-core marcher states. We are developing a multilevel model </w:t>
      </w:r>
      <w:r w:rsidR="002576D2">
        <w:rPr>
          <w:rFonts w:ascii="Garamond" w:hAnsi="Garamond"/>
          <w:sz w:val="24"/>
          <w:szCs w:val="24"/>
        </w:rPr>
        <w:t xml:space="preserve">(Chase-Dunn and Inoue 2017) </w:t>
      </w:r>
      <w:r>
        <w:rPr>
          <w:rFonts w:ascii="Garamond" w:hAnsi="Garamond"/>
          <w:sz w:val="24"/>
          <w:szCs w:val="24"/>
        </w:rPr>
        <w:t xml:space="preserve">that combines interpolity dynamics with the “secular cycle” model developed by </w:t>
      </w:r>
      <w:proofErr w:type="spellStart"/>
      <w:r>
        <w:rPr>
          <w:rFonts w:ascii="Garamond" w:hAnsi="Garamond"/>
          <w:sz w:val="24"/>
          <w:szCs w:val="24"/>
        </w:rPr>
        <w:t>Turchin</w:t>
      </w:r>
      <w:proofErr w:type="spellEnd"/>
      <w:r>
        <w:rPr>
          <w:rFonts w:ascii="Garamond" w:hAnsi="Garamond"/>
          <w:sz w:val="24"/>
          <w:szCs w:val="24"/>
        </w:rPr>
        <w:t xml:space="preserve"> and </w:t>
      </w:r>
      <w:proofErr w:type="spellStart"/>
      <w:r w:rsidR="008E25AD">
        <w:rPr>
          <w:rFonts w:ascii="Garamond" w:hAnsi="Garamond"/>
          <w:sz w:val="24"/>
          <w:szCs w:val="24"/>
        </w:rPr>
        <w:t>Nefadov</w:t>
      </w:r>
      <w:proofErr w:type="spellEnd"/>
      <w:r w:rsidR="008E25AD">
        <w:rPr>
          <w:rFonts w:ascii="Garamond" w:hAnsi="Garamond"/>
          <w:sz w:val="24"/>
          <w:szCs w:val="24"/>
        </w:rPr>
        <w:t xml:space="preserve"> (2009). This study of </w:t>
      </w:r>
      <w:r>
        <w:rPr>
          <w:rFonts w:ascii="Garamond" w:hAnsi="Garamond"/>
          <w:sz w:val="24"/>
          <w:szCs w:val="24"/>
        </w:rPr>
        <w:t xml:space="preserve">swings will help us determine the </w:t>
      </w:r>
      <w:r w:rsidR="008D6994">
        <w:rPr>
          <w:rFonts w:ascii="Garamond" w:hAnsi="Garamond"/>
          <w:sz w:val="24"/>
          <w:szCs w:val="24"/>
        </w:rPr>
        <w:t xml:space="preserve">nature of the relationships across different PMNs between </w:t>
      </w:r>
      <w:r w:rsidR="002D3034">
        <w:rPr>
          <w:rFonts w:ascii="Garamond" w:hAnsi="Garamond"/>
          <w:sz w:val="24"/>
          <w:szCs w:val="24"/>
        </w:rPr>
        <w:t>urban and polity scale changes.  To what extent is t</w:t>
      </w:r>
      <w:r w:rsidR="008E25AD">
        <w:rPr>
          <w:rFonts w:ascii="Garamond" w:hAnsi="Garamond"/>
          <w:sz w:val="24"/>
          <w:szCs w:val="24"/>
        </w:rPr>
        <w:t xml:space="preserve">he timing of urban and polity </w:t>
      </w:r>
      <w:r w:rsidR="002D3034">
        <w:rPr>
          <w:rFonts w:ascii="Garamond" w:hAnsi="Garamond"/>
          <w:sz w:val="24"/>
          <w:szCs w:val="24"/>
        </w:rPr>
        <w:t xml:space="preserve">swings correlated? Since both go up over the long run, we seek to determine their medium run relationship by calculating partial correlations that </w:t>
      </w:r>
      <w:r w:rsidR="008E25AD">
        <w:rPr>
          <w:rFonts w:ascii="Garamond" w:hAnsi="Garamond"/>
          <w:sz w:val="24"/>
          <w:szCs w:val="24"/>
        </w:rPr>
        <w:t>take</w:t>
      </w:r>
      <w:r w:rsidR="002D3034">
        <w:rPr>
          <w:rFonts w:ascii="Garamond" w:hAnsi="Garamond"/>
          <w:sz w:val="24"/>
          <w:szCs w:val="24"/>
        </w:rPr>
        <w:t xml:space="preserve"> out the long-term trend by controlling for year as an independe</w:t>
      </w:r>
      <w:r w:rsidR="008E25AD">
        <w:rPr>
          <w:rFonts w:ascii="Garamond" w:hAnsi="Garamond"/>
          <w:sz w:val="24"/>
          <w:szCs w:val="24"/>
        </w:rPr>
        <w:t>nt variable. We also examine</w:t>
      </w:r>
      <w:r w:rsidR="002D3034">
        <w:rPr>
          <w:rFonts w:ascii="Garamond" w:hAnsi="Garamond"/>
          <w:sz w:val="24"/>
          <w:szCs w:val="24"/>
        </w:rPr>
        <w:t xml:space="preserve"> graphs that show the track of largest city and polity sizes together for each PMN.  In order to correlate urban and polity sizes we needed to produce time series of the two </w:t>
      </w:r>
      <w:r w:rsidR="00711C19">
        <w:rPr>
          <w:rFonts w:ascii="Garamond" w:hAnsi="Garamond"/>
          <w:sz w:val="24"/>
          <w:szCs w:val="24"/>
        </w:rPr>
        <w:t xml:space="preserve">that have the same time points. </w:t>
      </w:r>
      <w:r w:rsidR="008E25AD">
        <w:rPr>
          <w:rFonts w:ascii="Garamond" w:hAnsi="Garamond"/>
          <w:sz w:val="24"/>
          <w:szCs w:val="24"/>
        </w:rPr>
        <w:t>We have done this by using the estimates we have</w:t>
      </w:r>
      <w:r w:rsidR="00711C19">
        <w:rPr>
          <w:rFonts w:ascii="Garamond" w:hAnsi="Garamond"/>
          <w:sz w:val="24"/>
          <w:szCs w:val="24"/>
        </w:rPr>
        <w:t xml:space="preserve"> to calculate linear interpolations </w:t>
      </w:r>
      <w:r w:rsidR="008E25AD">
        <w:rPr>
          <w:rFonts w:ascii="Garamond" w:hAnsi="Garamond"/>
          <w:sz w:val="24"/>
          <w:szCs w:val="24"/>
        </w:rPr>
        <w:t xml:space="preserve">for congruent years for each variable. For Mesopotamia and Egypt we use 100 year intervals, while for South Asia, East Asia and the Central PMN we use fifty year time points. Using fifty-year intervals for Egypt and Mesopotamia requires the use of too many interpolated data points because the original estimates are too spread out in time. So we prefer to use the more cautious 100 year intervals for these PMNs. </w:t>
      </w:r>
    </w:p>
    <w:p w:rsidR="0087042B" w:rsidRPr="00F019DD" w:rsidRDefault="008E25AD" w:rsidP="001669C4">
      <w:pPr>
        <w:jc w:val="both"/>
        <w:rPr>
          <w:rFonts w:ascii="Bookman Old Style" w:hAnsi="Bookman Old Style"/>
          <w:b/>
          <w:sz w:val="24"/>
          <w:szCs w:val="24"/>
        </w:rPr>
      </w:pPr>
      <w:r>
        <w:rPr>
          <w:rFonts w:ascii="Bookman Old Style" w:hAnsi="Bookman Old Style"/>
          <w:b/>
          <w:sz w:val="24"/>
          <w:szCs w:val="24"/>
        </w:rPr>
        <w:t>Unit</w:t>
      </w:r>
      <w:r w:rsidR="0087042B" w:rsidRPr="00F019DD">
        <w:rPr>
          <w:rFonts w:ascii="Bookman Old Style" w:hAnsi="Bookman Old Style"/>
          <w:b/>
          <w:sz w:val="24"/>
          <w:szCs w:val="24"/>
        </w:rPr>
        <w:t xml:space="preserve"> of Analysis</w:t>
      </w:r>
    </w:p>
    <w:p w:rsidR="0087042B" w:rsidRDefault="0087042B" w:rsidP="0087042B">
      <w:pPr>
        <w:rPr>
          <w:rFonts w:ascii="Garamond" w:hAnsi="Garamond"/>
          <w:sz w:val="24"/>
          <w:szCs w:val="24"/>
        </w:rPr>
      </w:pPr>
      <w:r w:rsidRPr="0087042B">
        <w:rPr>
          <w:rFonts w:ascii="Garamond" w:hAnsi="Garamond"/>
          <w:color w:val="000000"/>
          <w:sz w:val="24"/>
          <w:szCs w:val="24"/>
        </w:rPr>
        <w:t>Our approach to the spatial bounding of the unit of analysis is very different from those who try to comprehend a single global system that has existed for thousands of years. Gerhard </w:t>
      </w:r>
      <w:proofErr w:type="spellStart"/>
      <w:r w:rsidRPr="0087042B">
        <w:rPr>
          <w:rFonts w:ascii="Garamond" w:hAnsi="Garamond"/>
          <w:color w:val="000000"/>
          <w:sz w:val="24"/>
          <w:szCs w:val="24"/>
        </w:rPr>
        <w:t>Lenski</w:t>
      </w:r>
      <w:proofErr w:type="spellEnd"/>
      <w:r w:rsidRPr="0087042B">
        <w:rPr>
          <w:rFonts w:ascii="Garamond" w:hAnsi="Garamond"/>
          <w:color w:val="000000"/>
          <w:sz w:val="24"/>
          <w:szCs w:val="24"/>
        </w:rPr>
        <w:t> (2005); Andre </w:t>
      </w:r>
      <w:proofErr w:type="spellStart"/>
      <w:r w:rsidRPr="0087042B">
        <w:rPr>
          <w:rFonts w:ascii="Garamond" w:hAnsi="Garamond"/>
          <w:color w:val="000000"/>
          <w:sz w:val="24"/>
          <w:szCs w:val="24"/>
        </w:rPr>
        <w:t>Gunder</w:t>
      </w:r>
      <w:proofErr w:type="spellEnd"/>
      <w:r w:rsidRPr="0087042B">
        <w:rPr>
          <w:rFonts w:ascii="Garamond" w:hAnsi="Garamond"/>
          <w:color w:val="000000"/>
          <w:sz w:val="24"/>
          <w:szCs w:val="24"/>
        </w:rPr>
        <w:t> Frank and Barry Gills (1994</w:t>
      </w:r>
      <w:r w:rsidR="007D0ED3">
        <w:rPr>
          <w:rFonts w:ascii="Garamond" w:hAnsi="Garamond"/>
          <w:color w:val="000000"/>
          <w:sz w:val="24"/>
          <w:szCs w:val="24"/>
        </w:rPr>
        <w:t xml:space="preserve">) and George </w:t>
      </w:r>
      <w:proofErr w:type="spellStart"/>
      <w:r w:rsidR="007D0ED3">
        <w:rPr>
          <w:rFonts w:ascii="Garamond" w:hAnsi="Garamond"/>
          <w:color w:val="000000"/>
          <w:sz w:val="24"/>
          <w:szCs w:val="24"/>
        </w:rPr>
        <w:t>Modelski</w:t>
      </w:r>
      <w:proofErr w:type="spellEnd"/>
      <w:r w:rsidR="007D0ED3">
        <w:rPr>
          <w:rFonts w:ascii="Garamond" w:hAnsi="Garamond"/>
          <w:color w:val="000000"/>
          <w:sz w:val="24"/>
          <w:szCs w:val="24"/>
        </w:rPr>
        <w:t> (2002;</w:t>
      </w:r>
      <w:r w:rsidRPr="0087042B">
        <w:rPr>
          <w:rFonts w:ascii="Garamond" w:hAnsi="Garamond"/>
          <w:color w:val="000000"/>
          <w:sz w:val="24"/>
          <w:szCs w:val="24"/>
        </w:rPr>
        <w:t> </w:t>
      </w:r>
      <w:proofErr w:type="spellStart"/>
      <w:r w:rsidRPr="0087042B">
        <w:rPr>
          <w:rFonts w:ascii="Garamond" w:hAnsi="Garamond"/>
          <w:color w:val="000000"/>
          <w:sz w:val="24"/>
          <w:szCs w:val="24"/>
        </w:rPr>
        <w:t>Modelski</w:t>
      </w:r>
      <w:proofErr w:type="spellEnd"/>
      <w:r w:rsidRPr="0087042B">
        <w:rPr>
          <w:rFonts w:ascii="Garamond" w:hAnsi="Garamond"/>
          <w:color w:val="000000"/>
          <w:sz w:val="24"/>
          <w:szCs w:val="24"/>
        </w:rPr>
        <w:t>, </w:t>
      </w:r>
      <w:proofErr w:type="spellStart"/>
      <w:r w:rsidRPr="0087042B">
        <w:rPr>
          <w:rFonts w:ascii="Garamond" w:hAnsi="Garamond"/>
          <w:color w:val="000000"/>
          <w:sz w:val="24"/>
          <w:szCs w:val="24"/>
        </w:rPr>
        <w:t>Devezas</w:t>
      </w:r>
      <w:proofErr w:type="spellEnd"/>
      <w:r w:rsidRPr="0087042B">
        <w:rPr>
          <w:rFonts w:ascii="Garamond" w:hAnsi="Garamond"/>
          <w:color w:val="000000"/>
          <w:sz w:val="24"/>
          <w:szCs w:val="24"/>
        </w:rPr>
        <w:t> and Thompson 2008) and Sing Chew (2001;2007</w:t>
      </w:r>
      <w:r w:rsidR="0018142E" w:rsidRPr="0087042B">
        <w:rPr>
          <w:rFonts w:ascii="Garamond" w:hAnsi="Garamond"/>
          <w:color w:val="000000"/>
          <w:sz w:val="24"/>
          <w:szCs w:val="24"/>
        </w:rPr>
        <w:t>) all</w:t>
      </w:r>
      <w:r w:rsidRPr="0087042B">
        <w:rPr>
          <w:rFonts w:ascii="Garamond" w:hAnsi="Garamond"/>
          <w:color w:val="000000"/>
          <w:sz w:val="24"/>
          <w:szCs w:val="24"/>
        </w:rPr>
        <w:t xml:space="preserve"> analyze the entire globe as a single system over the past several thousand years. We contend that this approach misses very important differences in the nature and timing of the development of complexity and hierarchy in different world regions</w:t>
      </w:r>
      <w:r w:rsidR="00342EDE">
        <w:rPr>
          <w:rFonts w:ascii="Garamond" w:hAnsi="Garamond"/>
          <w:color w:val="000000"/>
          <w:sz w:val="24"/>
          <w:szCs w:val="24"/>
        </w:rPr>
        <w:t xml:space="preserve"> that stem from the fact that they were unconnected</w:t>
      </w:r>
      <w:r w:rsidR="00B6042F">
        <w:rPr>
          <w:rFonts w:ascii="Garamond" w:hAnsi="Garamond"/>
          <w:color w:val="000000"/>
          <w:sz w:val="24"/>
          <w:szCs w:val="24"/>
        </w:rPr>
        <w:t>,</w:t>
      </w:r>
      <w:r w:rsidR="00342EDE">
        <w:rPr>
          <w:rFonts w:ascii="Garamond" w:hAnsi="Garamond"/>
          <w:color w:val="000000"/>
          <w:sz w:val="24"/>
          <w:szCs w:val="24"/>
        </w:rPr>
        <w:t xml:space="preserve"> or only very weakly connected</w:t>
      </w:r>
      <w:r w:rsidR="00B6042F">
        <w:rPr>
          <w:rFonts w:ascii="Garamond" w:hAnsi="Garamond"/>
          <w:color w:val="000000"/>
          <w:sz w:val="24"/>
          <w:szCs w:val="24"/>
        </w:rPr>
        <w:t>,</w:t>
      </w:r>
      <w:r w:rsidR="00342EDE">
        <w:rPr>
          <w:rFonts w:ascii="Garamond" w:hAnsi="Garamond"/>
          <w:color w:val="000000"/>
          <w:sz w:val="24"/>
          <w:szCs w:val="24"/>
        </w:rPr>
        <w:t xml:space="preserve"> with one another</w:t>
      </w:r>
      <w:r w:rsidRPr="0087042B">
        <w:rPr>
          <w:rFonts w:ascii="Garamond" w:hAnsi="Garamond"/>
          <w:color w:val="000000"/>
          <w:sz w:val="24"/>
          <w:szCs w:val="24"/>
        </w:rPr>
        <w:t xml:space="preserve">. Combining apples and oranges into a single global bowl of fruit is a major mistake that makes it more difficult to both describe and explain social change. </w:t>
      </w:r>
      <w:r w:rsidR="00342EDE">
        <w:rPr>
          <w:rFonts w:ascii="Garamond" w:hAnsi="Garamond"/>
          <w:color w:val="000000"/>
          <w:sz w:val="24"/>
          <w:szCs w:val="24"/>
        </w:rPr>
        <w:t>T</w:t>
      </w:r>
      <w:r w:rsidRPr="0087042B">
        <w:rPr>
          <w:rFonts w:ascii="Garamond" w:hAnsi="Garamond"/>
          <w:color w:val="000000"/>
          <w:sz w:val="24"/>
          <w:szCs w:val="24"/>
        </w:rPr>
        <w:t>he claim that there has always been a single global world-system is profoundly misleading. </w:t>
      </w:r>
      <w:r w:rsidRPr="0087042B">
        <w:rPr>
          <w:rFonts w:ascii="Garamond" w:hAnsi="Garamond"/>
          <w:sz w:val="24"/>
          <w:szCs w:val="24"/>
        </w:rPr>
        <w:t xml:space="preserve"> </w:t>
      </w:r>
    </w:p>
    <w:p w:rsidR="00290BCA" w:rsidRPr="00974DB7" w:rsidRDefault="0087042B" w:rsidP="00290BCA">
      <w:pPr>
        <w:rPr>
          <w:rFonts w:ascii="Garamond" w:hAnsi="Garamond"/>
          <w:sz w:val="24"/>
          <w:szCs w:val="24"/>
        </w:rPr>
      </w:pPr>
      <w:r>
        <w:rPr>
          <w:rFonts w:ascii="Garamond" w:hAnsi="Garamond"/>
          <w:sz w:val="24"/>
          <w:szCs w:val="24"/>
        </w:rPr>
        <w:tab/>
      </w:r>
      <w:r w:rsidRPr="006277F7">
        <w:rPr>
          <w:rFonts w:ascii="Garamond" w:hAnsi="Garamond"/>
          <w:sz w:val="24"/>
          <w:szCs w:val="24"/>
        </w:rPr>
        <w:t xml:space="preserve">In this paper we use Political-Military </w:t>
      </w:r>
      <w:r w:rsidR="005651E8">
        <w:rPr>
          <w:rFonts w:ascii="Garamond" w:hAnsi="Garamond"/>
          <w:sz w:val="24"/>
          <w:szCs w:val="24"/>
        </w:rPr>
        <w:t>N</w:t>
      </w:r>
      <w:r w:rsidRPr="006277F7">
        <w:rPr>
          <w:rFonts w:ascii="Garamond" w:hAnsi="Garamond"/>
          <w:sz w:val="24"/>
          <w:szCs w:val="24"/>
        </w:rPr>
        <w:t>etworks</w:t>
      </w:r>
      <w:r w:rsidR="005651E8">
        <w:rPr>
          <w:rFonts w:ascii="Garamond" w:hAnsi="Garamond"/>
          <w:sz w:val="24"/>
          <w:szCs w:val="24"/>
        </w:rPr>
        <w:t>( PMNs)</w:t>
      </w:r>
      <w:r w:rsidRPr="006277F7">
        <w:rPr>
          <w:rFonts w:ascii="Garamond" w:hAnsi="Garamond"/>
          <w:sz w:val="24"/>
          <w:szCs w:val="24"/>
        </w:rPr>
        <w:t xml:space="preserve"> as the unit of analysis</w:t>
      </w:r>
      <w:r w:rsidR="005651E8">
        <w:rPr>
          <w:rFonts w:ascii="Garamond" w:hAnsi="Garamond"/>
          <w:sz w:val="24"/>
          <w:szCs w:val="24"/>
        </w:rPr>
        <w:t>.</w:t>
      </w:r>
      <w:r w:rsidR="005651E8">
        <w:rPr>
          <w:rStyle w:val="FootnoteReference"/>
          <w:rFonts w:ascii="Garamond" w:hAnsi="Garamond" w:cs="Gisha"/>
          <w:sz w:val="24"/>
          <w:szCs w:val="24"/>
        </w:rPr>
        <w:footnoteReference w:id="8"/>
      </w:r>
      <w:r w:rsidR="005651E8">
        <w:rPr>
          <w:rFonts w:ascii="Garamond" w:hAnsi="Garamond"/>
          <w:sz w:val="24"/>
          <w:szCs w:val="24"/>
        </w:rPr>
        <w:t xml:space="preserve"> </w:t>
      </w:r>
      <w:r>
        <w:rPr>
          <w:rFonts w:ascii="Garamond" w:hAnsi="Garamond"/>
          <w:sz w:val="24"/>
          <w:szCs w:val="24"/>
        </w:rPr>
        <w:t xml:space="preserve">These are composed of </w:t>
      </w:r>
      <w:r w:rsidR="007E47FA">
        <w:rPr>
          <w:rFonts w:ascii="Garamond" w:hAnsi="Garamond"/>
          <w:sz w:val="24"/>
          <w:szCs w:val="24"/>
        </w:rPr>
        <w:t>polities</w:t>
      </w:r>
      <w:r>
        <w:rPr>
          <w:rFonts w:ascii="Garamond" w:hAnsi="Garamond"/>
          <w:sz w:val="24"/>
          <w:szCs w:val="24"/>
        </w:rPr>
        <w:t xml:space="preserve"> that are making wars and</w:t>
      </w:r>
      <w:r w:rsidR="00B829AB">
        <w:rPr>
          <w:rFonts w:ascii="Garamond" w:hAnsi="Garamond"/>
          <w:sz w:val="24"/>
          <w:szCs w:val="24"/>
        </w:rPr>
        <w:t xml:space="preserve"> military</w:t>
      </w:r>
      <w:r>
        <w:rPr>
          <w:rFonts w:ascii="Garamond" w:hAnsi="Garamond"/>
          <w:sz w:val="24"/>
          <w:szCs w:val="24"/>
        </w:rPr>
        <w:t xml:space="preserve"> alliances with one another. David Wilkinson has </w:t>
      </w:r>
      <w:r>
        <w:rPr>
          <w:rFonts w:ascii="Garamond" w:hAnsi="Garamond"/>
          <w:sz w:val="24"/>
          <w:szCs w:val="24"/>
        </w:rPr>
        <w:lastRenderedPageBreak/>
        <w:t>carefully studied the spatial boundaries of these interstate systems and we follow his lead i</w:t>
      </w:r>
      <w:r w:rsidR="00D373E1">
        <w:rPr>
          <w:rFonts w:ascii="Garamond" w:hAnsi="Garamond"/>
          <w:sz w:val="24"/>
          <w:szCs w:val="24"/>
        </w:rPr>
        <w:t>n delineating them (Wilkinson 2</w:t>
      </w:r>
      <w:r w:rsidR="00974DB7">
        <w:rPr>
          <w:rFonts w:ascii="Garamond" w:hAnsi="Garamond"/>
          <w:sz w:val="24"/>
          <w:szCs w:val="24"/>
        </w:rPr>
        <w:t xml:space="preserve">017). </w:t>
      </w:r>
      <w:r w:rsidR="00290BCA" w:rsidRPr="00290BCA">
        <w:rPr>
          <w:rFonts w:ascii="Garamond" w:hAnsi="Garamond" w:cs="Gisha"/>
          <w:sz w:val="24"/>
          <w:szCs w:val="24"/>
        </w:rPr>
        <w:t>Following Wilkinson’s (</w:t>
      </w:r>
      <w:r w:rsidR="00290BCA">
        <w:rPr>
          <w:rFonts w:ascii="Garamond" w:hAnsi="Garamond" w:cs="Gisha"/>
          <w:sz w:val="24"/>
          <w:szCs w:val="24"/>
        </w:rPr>
        <w:t>1987</w:t>
      </w:r>
      <w:r w:rsidR="00290BCA" w:rsidRPr="00290BCA">
        <w:rPr>
          <w:rFonts w:ascii="Garamond" w:hAnsi="Garamond" w:cs="Gisha"/>
          <w:sz w:val="24"/>
          <w:szCs w:val="24"/>
        </w:rPr>
        <w:t xml:space="preserve">) </w:t>
      </w:r>
      <w:r w:rsidR="00D373E1">
        <w:rPr>
          <w:rFonts w:ascii="Garamond" w:hAnsi="Garamond" w:cs="Gisha"/>
          <w:sz w:val="24"/>
          <w:szCs w:val="24"/>
        </w:rPr>
        <w:t>specifications</w:t>
      </w:r>
      <w:r w:rsidR="00304423">
        <w:rPr>
          <w:rFonts w:ascii="Garamond" w:hAnsi="Garamond" w:cs="Gisha"/>
          <w:sz w:val="24"/>
          <w:szCs w:val="24"/>
        </w:rPr>
        <w:t>,</w:t>
      </w:r>
      <w:r w:rsidR="00290BCA" w:rsidRPr="00290BCA">
        <w:rPr>
          <w:rFonts w:ascii="Garamond" w:hAnsi="Garamond" w:cs="Gisha"/>
          <w:sz w:val="24"/>
          <w:szCs w:val="24"/>
        </w:rPr>
        <w:t xml:space="preserve"> the timings of the incorporation of </w:t>
      </w:r>
      <w:r w:rsidR="00290BCA">
        <w:rPr>
          <w:rFonts w:ascii="Garamond" w:hAnsi="Garamond" w:cs="Gisha"/>
          <w:sz w:val="24"/>
          <w:szCs w:val="24"/>
        </w:rPr>
        <w:t>smaller PMNs</w:t>
      </w:r>
      <w:r w:rsidR="00290BCA" w:rsidRPr="00290BCA">
        <w:rPr>
          <w:rFonts w:ascii="Garamond" w:hAnsi="Garamond" w:cs="Gisha"/>
          <w:sz w:val="24"/>
          <w:szCs w:val="24"/>
        </w:rPr>
        <w:t xml:space="preserve"> into</w:t>
      </w:r>
      <w:r w:rsidR="00290BCA">
        <w:rPr>
          <w:rFonts w:ascii="Garamond" w:hAnsi="Garamond" w:cs="Gisha"/>
          <w:sz w:val="24"/>
          <w:szCs w:val="24"/>
        </w:rPr>
        <w:t xml:space="preserve"> the Central PMN are as follows: </w:t>
      </w:r>
      <w:r w:rsidR="00290BCA" w:rsidRPr="00290BCA">
        <w:rPr>
          <w:rFonts w:ascii="Garamond" w:hAnsi="Garamond" w:cs="Gisha"/>
          <w:sz w:val="24"/>
          <w:szCs w:val="24"/>
        </w:rPr>
        <w:t>Egyptian and Mesopotamian PMNs merge</w:t>
      </w:r>
      <w:r w:rsidR="00290BCA">
        <w:rPr>
          <w:rFonts w:ascii="Garamond" w:hAnsi="Garamond" w:cs="Gisha"/>
          <w:sz w:val="24"/>
          <w:szCs w:val="24"/>
        </w:rPr>
        <w:t>d</w:t>
      </w:r>
      <w:r w:rsidR="00290BCA" w:rsidRPr="00290BCA">
        <w:rPr>
          <w:rFonts w:ascii="Garamond" w:hAnsi="Garamond" w:cs="Gisha"/>
          <w:sz w:val="24"/>
          <w:szCs w:val="24"/>
        </w:rPr>
        <w:t xml:space="preserve"> to </w:t>
      </w:r>
      <w:r w:rsidR="00290BCA">
        <w:rPr>
          <w:rFonts w:ascii="Garamond" w:hAnsi="Garamond" w:cs="Gisha"/>
          <w:sz w:val="24"/>
          <w:szCs w:val="24"/>
        </w:rPr>
        <w:t xml:space="preserve">form </w:t>
      </w:r>
      <w:r w:rsidR="00336ECC">
        <w:rPr>
          <w:rFonts w:ascii="Garamond" w:hAnsi="Garamond" w:cs="Gisha"/>
          <w:sz w:val="24"/>
          <w:szCs w:val="24"/>
        </w:rPr>
        <w:t xml:space="preserve">the </w:t>
      </w:r>
      <w:r w:rsidR="00290BCA">
        <w:rPr>
          <w:rFonts w:ascii="Garamond" w:hAnsi="Garamond" w:cs="Gisha"/>
          <w:sz w:val="24"/>
          <w:szCs w:val="24"/>
        </w:rPr>
        <w:t xml:space="preserve">Central PMN in </w:t>
      </w:r>
      <w:r w:rsidR="00290BCA" w:rsidRPr="00290BCA">
        <w:rPr>
          <w:rFonts w:ascii="Garamond" w:hAnsi="Garamond" w:cs="Gisha"/>
          <w:sz w:val="24"/>
          <w:szCs w:val="24"/>
        </w:rPr>
        <w:t>1500</w:t>
      </w:r>
      <w:r w:rsidR="00290BCA">
        <w:rPr>
          <w:rFonts w:ascii="Garamond" w:hAnsi="Garamond" w:cs="Gisha"/>
          <w:sz w:val="24"/>
          <w:szCs w:val="24"/>
        </w:rPr>
        <w:t xml:space="preserve"> BCE; </w:t>
      </w:r>
      <w:r w:rsidR="00290BCA" w:rsidRPr="00290BCA">
        <w:rPr>
          <w:rFonts w:ascii="Garamond" w:hAnsi="Garamond" w:cs="Gisha"/>
          <w:sz w:val="24"/>
          <w:szCs w:val="24"/>
        </w:rPr>
        <w:t xml:space="preserve">Europe </w:t>
      </w:r>
      <w:r w:rsidR="00336ECC">
        <w:rPr>
          <w:rFonts w:ascii="Garamond" w:hAnsi="Garamond" w:cs="Gisha"/>
          <w:sz w:val="24"/>
          <w:szCs w:val="24"/>
        </w:rPr>
        <w:t>was engulfed by the</w:t>
      </w:r>
      <w:r w:rsidR="00290BCA">
        <w:rPr>
          <w:rFonts w:ascii="Garamond" w:hAnsi="Garamond" w:cs="Gisha"/>
          <w:sz w:val="24"/>
          <w:szCs w:val="24"/>
        </w:rPr>
        <w:t xml:space="preserve"> Central PMN in </w:t>
      </w:r>
      <w:r w:rsidR="00290BCA" w:rsidRPr="00290BCA">
        <w:rPr>
          <w:rFonts w:ascii="Garamond" w:hAnsi="Garamond" w:cs="Gisha"/>
          <w:sz w:val="24"/>
          <w:szCs w:val="24"/>
        </w:rPr>
        <w:t>500</w:t>
      </w:r>
      <w:r w:rsidR="00290BCA">
        <w:rPr>
          <w:rFonts w:ascii="Garamond" w:hAnsi="Garamond" w:cs="Gisha"/>
          <w:sz w:val="24"/>
          <w:szCs w:val="24"/>
        </w:rPr>
        <w:t xml:space="preserve"> BCE</w:t>
      </w:r>
      <w:r w:rsidR="005651E8">
        <w:rPr>
          <w:rStyle w:val="FootnoteReference"/>
          <w:rFonts w:ascii="Garamond" w:hAnsi="Garamond" w:cs="Gisha"/>
          <w:sz w:val="24"/>
          <w:szCs w:val="24"/>
        </w:rPr>
        <w:footnoteReference w:id="9"/>
      </w:r>
      <w:r w:rsidR="00290BCA">
        <w:rPr>
          <w:rFonts w:ascii="Garamond" w:hAnsi="Garamond" w:cs="Gisha"/>
          <w:sz w:val="24"/>
          <w:szCs w:val="24"/>
        </w:rPr>
        <w:t xml:space="preserve">; </w:t>
      </w:r>
      <w:r w:rsidR="00290BCA" w:rsidRPr="00290BCA">
        <w:rPr>
          <w:rFonts w:ascii="Garamond" w:hAnsi="Garamond" w:cs="Gisha"/>
          <w:sz w:val="24"/>
          <w:szCs w:val="24"/>
        </w:rPr>
        <w:t xml:space="preserve">South Asia </w:t>
      </w:r>
      <w:r w:rsidR="00336ECC">
        <w:rPr>
          <w:rFonts w:ascii="Garamond" w:hAnsi="Garamond" w:cs="Gisha"/>
          <w:sz w:val="24"/>
          <w:szCs w:val="24"/>
        </w:rPr>
        <w:t>was engulfed</w:t>
      </w:r>
      <w:r w:rsidR="00290BCA">
        <w:rPr>
          <w:rFonts w:ascii="Garamond" w:hAnsi="Garamond" w:cs="Gisha"/>
          <w:sz w:val="24"/>
          <w:szCs w:val="24"/>
        </w:rPr>
        <w:t xml:space="preserve"> in</w:t>
      </w:r>
      <w:r w:rsidR="00290BCA" w:rsidRPr="00290BCA">
        <w:rPr>
          <w:rFonts w:ascii="Garamond" w:hAnsi="Garamond" w:cs="Gisha"/>
          <w:sz w:val="24"/>
          <w:szCs w:val="24"/>
        </w:rPr>
        <w:t xml:space="preserve">to </w:t>
      </w:r>
      <w:r w:rsidR="00290BCA">
        <w:rPr>
          <w:rFonts w:ascii="Garamond" w:hAnsi="Garamond" w:cs="Gisha"/>
          <w:sz w:val="24"/>
          <w:szCs w:val="24"/>
        </w:rPr>
        <w:t xml:space="preserve">the </w:t>
      </w:r>
      <w:r w:rsidR="00290BCA" w:rsidRPr="00290BCA">
        <w:rPr>
          <w:rFonts w:ascii="Garamond" w:hAnsi="Garamond" w:cs="Gisha"/>
          <w:sz w:val="24"/>
          <w:szCs w:val="24"/>
        </w:rPr>
        <w:t>Central PMN in 1000</w:t>
      </w:r>
      <w:r w:rsidR="00290BCA">
        <w:rPr>
          <w:rFonts w:ascii="Garamond" w:hAnsi="Garamond" w:cs="Gisha"/>
          <w:sz w:val="24"/>
          <w:szCs w:val="24"/>
        </w:rPr>
        <w:t xml:space="preserve"> CE and </w:t>
      </w:r>
      <w:r w:rsidR="00290BCA" w:rsidRPr="00290BCA">
        <w:rPr>
          <w:rFonts w:ascii="Garamond" w:hAnsi="Garamond" w:cs="Gisha"/>
          <w:sz w:val="24"/>
          <w:szCs w:val="24"/>
        </w:rPr>
        <w:t xml:space="preserve">East Asia </w:t>
      </w:r>
      <w:r w:rsidR="00290BCA">
        <w:rPr>
          <w:rFonts w:ascii="Garamond" w:hAnsi="Garamond" w:cs="Gisha"/>
          <w:sz w:val="24"/>
          <w:szCs w:val="24"/>
        </w:rPr>
        <w:t>was engulfed into the</w:t>
      </w:r>
      <w:r w:rsidR="00290BCA" w:rsidRPr="00290BCA">
        <w:rPr>
          <w:rFonts w:ascii="Garamond" w:hAnsi="Garamond" w:cs="Gisha"/>
          <w:sz w:val="24"/>
          <w:szCs w:val="24"/>
        </w:rPr>
        <w:t xml:space="preserve"> Central PMN in 1830</w:t>
      </w:r>
      <w:r w:rsidR="00290BCA">
        <w:rPr>
          <w:rFonts w:ascii="Garamond" w:hAnsi="Garamond" w:cs="Gisha"/>
          <w:sz w:val="24"/>
          <w:szCs w:val="24"/>
        </w:rPr>
        <w:t xml:space="preserve"> CE.</w:t>
      </w:r>
      <w:r w:rsidR="00C83319">
        <w:rPr>
          <w:rStyle w:val="FootnoteReference"/>
          <w:rFonts w:ascii="Garamond" w:hAnsi="Garamond" w:cs="Gisha"/>
          <w:sz w:val="24"/>
          <w:szCs w:val="24"/>
        </w:rPr>
        <w:footnoteReference w:id="10"/>
      </w:r>
    </w:p>
    <w:p w:rsidR="00B6042F" w:rsidRDefault="008274D6">
      <w:pPr>
        <w:rPr>
          <w:rFonts w:ascii="Bookman Old Style" w:hAnsi="Bookman Old Style" w:cs="Gisha"/>
          <w:b/>
          <w:sz w:val="24"/>
          <w:szCs w:val="24"/>
        </w:rPr>
      </w:pPr>
      <w:r w:rsidRPr="00974DB7">
        <w:rPr>
          <w:rFonts w:ascii="Bookman Old Style" w:hAnsi="Bookman Old Style" w:cs="Gisha"/>
          <w:b/>
          <w:sz w:val="24"/>
          <w:szCs w:val="24"/>
        </w:rPr>
        <w:t>Estimating the population sizes of cities</w:t>
      </w:r>
      <w:r w:rsidR="00F939D9">
        <w:rPr>
          <w:rFonts w:ascii="Bookman Old Style" w:hAnsi="Bookman Old Style" w:cs="Gisha"/>
          <w:b/>
          <w:sz w:val="24"/>
          <w:szCs w:val="24"/>
        </w:rPr>
        <w:t xml:space="preserve"> </w:t>
      </w:r>
    </w:p>
    <w:p w:rsidR="006C7602" w:rsidRPr="00974DB7" w:rsidRDefault="00F939D9">
      <w:pPr>
        <w:rPr>
          <w:rFonts w:ascii="Bookman Old Style" w:hAnsi="Bookman Old Style" w:cs="Gisha"/>
          <w:b/>
          <w:sz w:val="24"/>
          <w:szCs w:val="24"/>
        </w:rPr>
      </w:pPr>
      <w:r w:rsidRPr="008A2890">
        <w:rPr>
          <w:rFonts w:ascii="Garamond" w:hAnsi="Garamond" w:cs="Gisha"/>
          <w:sz w:val="24"/>
          <w:szCs w:val="24"/>
          <w:highlight w:val="yellow"/>
        </w:rPr>
        <w:t xml:space="preserve">What are the important differences in the methods of chandler, </w:t>
      </w:r>
      <w:proofErr w:type="spellStart"/>
      <w:r w:rsidRPr="008A2890">
        <w:rPr>
          <w:rFonts w:ascii="Garamond" w:hAnsi="Garamond" w:cs="Gisha"/>
          <w:sz w:val="24"/>
          <w:szCs w:val="24"/>
          <w:highlight w:val="yellow"/>
        </w:rPr>
        <w:t>morris</w:t>
      </w:r>
      <w:proofErr w:type="spellEnd"/>
      <w:r w:rsidRPr="008A2890">
        <w:rPr>
          <w:rFonts w:ascii="Garamond" w:hAnsi="Garamond" w:cs="Gisha"/>
          <w:sz w:val="24"/>
          <w:szCs w:val="24"/>
          <w:highlight w:val="yellow"/>
        </w:rPr>
        <w:t xml:space="preserve"> and </w:t>
      </w:r>
      <w:proofErr w:type="spellStart"/>
      <w:r w:rsidRPr="008A2890">
        <w:rPr>
          <w:rFonts w:ascii="Garamond" w:hAnsi="Garamond" w:cs="Gisha"/>
          <w:sz w:val="24"/>
          <w:szCs w:val="24"/>
          <w:highlight w:val="yellow"/>
        </w:rPr>
        <w:t>modelski</w:t>
      </w:r>
      <w:proofErr w:type="spellEnd"/>
      <w:r w:rsidRPr="008A2890">
        <w:rPr>
          <w:rFonts w:ascii="Garamond" w:hAnsi="Garamond" w:cs="Gisha"/>
          <w:sz w:val="24"/>
          <w:szCs w:val="24"/>
          <w:highlight w:val="yellow"/>
        </w:rPr>
        <w:t>?</w:t>
      </w:r>
    </w:p>
    <w:p w:rsidR="00DE4C81" w:rsidRPr="00C85EDC" w:rsidRDefault="003E547F" w:rsidP="00DE4C81">
      <w:pPr>
        <w:ind w:firstLine="720"/>
        <w:rPr>
          <w:rFonts w:ascii="Gisha" w:hAnsi="Gisha" w:cs="Gisha"/>
          <w:sz w:val="24"/>
          <w:szCs w:val="24"/>
        </w:rPr>
      </w:pPr>
      <w:r w:rsidRPr="00C85EDC">
        <w:rPr>
          <w:rFonts w:ascii="Garamond" w:hAnsi="Garamond" w:cs="Gisha"/>
          <w:sz w:val="24"/>
          <w:szCs w:val="24"/>
        </w:rPr>
        <w:t xml:space="preserve">We use </w:t>
      </w:r>
      <w:r w:rsidR="00DD6438">
        <w:rPr>
          <w:rFonts w:ascii="Garamond" w:hAnsi="Garamond" w:cs="Gisha"/>
          <w:sz w:val="24"/>
          <w:szCs w:val="24"/>
        </w:rPr>
        <w:t xml:space="preserve">the compilations published by </w:t>
      </w:r>
      <w:proofErr w:type="spellStart"/>
      <w:r w:rsidR="008274D6" w:rsidRPr="00C85EDC">
        <w:rPr>
          <w:rFonts w:ascii="Garamond" w:hAnsi="Garamond" w:cs="Gisha"/>
          <w:sz w:val="24"/>
          <w:szCs w:val="24"/>
        </w:rPr>
        <w:t>Tertius</w:t>
      </w:r>
      <w:proofErr w:type="spellEnd"/>
      <w:r w:rsidR="008274D6" w:rsidRPr="00C85EDC">
        <w:rPr>
          <w:rFonts w:ascii="Garamond" w:hAnsi="Garamond" w:cs="Gisha"/>
          <w:sz w:val="24"/>
          <w:szCs w:val="24"/>
        </w:rPr>
        <w:t xml:space="preserve"> </w:t>
      </w:r>
      <w:r w:rsidRPr="00C85EDC">
        <w:rPr>
          <w:rFonts w:ascii="Garamond" w:hAnsi="Garamond" w:cs="Gisha"/>
          <w:sz w:val="24"/>
          <w:szCs w:val="24"/>
        </w:rPr>
        <w:t xml:space="preserve">Chandler (1987), </w:t>
      </w:r>
      <w:r w:rsidR="008274D6" w:rsidRPr="00C85EDC">
        <w:rPr>
          <w:rFonts w:ascii="Garamond" w:hAnsi="Garamond" w:cs="Gisha"/>
          <w:sz w:val="24"/>
          <w:szCs w:val="24"/>
        </w:rPr>
        <w:t xml:space="preserve">George </w:t>
      </w:r>
      <w:proofErr w:type="spellStart"/>
      <w:r w:rsidRPr="00C85EDC">
        <w:rPr>
          <w:rFonts w:ascii="Garamond" w:hAnsi="Garamond" w:cs="Gisha"/>
          <w:sz w:val="24"/>
          <w:szCs w:val="24"/>
        </w:rPr>
        <w:t>M</w:t>
      </w:r>
      <w:r w:rsidR="008274D6" w:rsidRPr="00C85EDC">
        <w:rPr>
          <w:rFonts w:ascii="Garamond" w:hAnsi="Garamond" w:cs="Gisha"/>
          <w:sz w:val="24"/>
          <w:szCs w:val="24"/>
        </w:rPr>
        <w:t>o</w:t>
      </w:r>
      <w:r w:rsidRPr="00C85EDC">
        <w:rPr>
          <w:rFonts w:ascii="Garamond" w:hAnsi="Garamond" w:cs="Gisha"/>
          <w:sz w:val="24"/>
          <w:szCs w:val="24"/>
        </w:rPr>
        <w:t>delski</w:t>
      </w:r>
      <w:proofErr w:type="spellEnd"/>
      <w:r w:rsidRPr="00C85EDC">
        <w:rPr>
          <w:rFonts w:ascii="Garamond" w:hAnsi="Garamond" w:cs="Gisha"/>
          <w:sz w:val="24"/>
          <w:szCs w:val="24"/>
        </w:rPr>
        <w:t xml:space="preserve"> (2003), and </w:t>
      </w:r>
      <w:r w:rsidR="008274D6" w:rsidRPr="00C85EDC">
        <w:rPr>
          <w:rFonts w:ascii="Garamond" w:hAnsi="Garamond" w:cs="Gisha"/>
          <w:sz w:val="24"/>
          <w:szCs w:val="24"/>
        </w:rPr>
        <w:t xml:space="preserve">Ian </w:t>
      </w:r>
      <w:r w:rsidRPr="00C85EDC">
        <w:rPr>
          <w:rFonts w:ascii="Garamond" w:hAnsi="Garamond" w:cs="Gisha"/>
          <w:sz w:val="24"/>
          <w:szCs w:val="24"/>
        </w:rPr>
        <w:t xml:space="preserve">Morris (2010) as </w:t>
      </w:r>
      <w:r w:rsidR="00B6042F">
        <w:rPr>
          <w:rFonts w:ascii="Garamond" w:hAnsi="Garamond" w:cs="Gisha"/>
          <w:sz w:val="24"/>
          <w:szCs w:val="24"/>
        </w:rPr>
        <w:t>our</w:t>
      </w:r>
      <w:r w:rsidR="008274D6" w:rsidRPr="00C85EDC">
        <w:rPr>
          <w:rFonts w:ascii="Garamond" w:hAnsi="Garamond" w:cs="Gisha"/>
          <w:sz w:val="24"/>
          <w:szCs w:val="24"/>
        </w:rPr>
        <w:t xml:space="preserve"> main sources for city population size estimates</w:t>
      </w:r>
      <w:r w:rsidRPr="00C85EDC">
        <w:rPr>
          <w:rFonts w:ascii="Garamond" w:hAnsi="Garamond" w:cs="Gisha"/>
          <w:sz w:val="24"/>
          <w:szCs w:val="24"/>
        </w:rPr>
        <w:t xml:space="preserve">.  </w:t>
      </w:r>
      <w:r w:rsidR="00DE4C81" w:rsidRPr="00C85EDC">
        <w:rPr>
          <w:rFonts w:ascii="Garamond" w:hAnsi="Garamond" w:cs="Gisha"/>
          <w:sz w:val="24"/>
          <w:szCs w:val="24"/>
        </w:rPr>
        <w:t xml:space="preserve">Chandler’s (1987) data compendium uses various proxies to estimate city populations such as the number of households, </w:t>
      </w:r>
      <w:r w:rsidR="00DE4C81">
        <w:rPr>
          <w:rFonts w:ascii="Garamond" w:hAnsi="Garamond" w:cs="Gisha"/>
          <w:sz w:val="24"/>
          <w:szCs w:val="24"/>
        </w:rPr>
        <w:t xml:space="preserve">the number of solders, </w:t>
      </w:r>
      <w:r w:rsidR="00DE4C81" w:rsidRPr="00C85EDC">
        <w:rPr>
          <w:rFonts w:ascii="Garamond" w:hAnsi="Garamond" w:cs="Gisha"/>
          <w:sz w:val="24"/>
          <w:szCs w:val="24"/>
        </w:rPr>
        <w:t>estimates of areal population density</w:t>
      </w:r>
      <w:r w:rsidR="00B6042F">
        <w:rPr>
          <w:rFonts w:ascii="Garamond" w:hAnsi="Garamond" w:cs="Gisha"/>
          <w:sz w:val="24"/>
          <w:szCs w:val="24"/>
        </w:rPr>
        <w:t>, and etc</w:t>
      </w:r>
      <w:r w:rsidR="00DE4C81" w:rsidRPr="00C85EDC">
        <w:rPr>
          <w:rFonts w:ascii="Garamond" w:hAnsi="Garamond" w:cs="Gisha"/>
          <w:sz w:val="24"/>
          <w:szCs w:val="24"/>
        </w:rPr>
        <w:t xml:space="preserve">. </w:t>
      </w:r>
      <w:r w:rsidR="00DE4C81">
        <w:rPr>
          <w:rFonts w:ascii="Garamond" w:hAnsi="Garamond" w:cs="Gisha"/>
          <w:sz w:val="24"/>
          <w:szCs w:val="24"/>
        </w:rPr>
        <w:t xml:space="preserve"> </w:t>
      </w:r>
      <w:r w:rsidR="00DE4C81" w:rsidRPr="00C85EDC">
        <w:rPr>
          <w:rFonts w:ascii="Garamond" w:hAnsi="Garamond" w:cs="Gisha"/>
          <w:sz w:val="24"/>
          <w:szCs w:val="24"/>
        </w:rPr>
        <w:t>Chandler ‘s definition includes the resident population of the city and surrounding suburban or urbanized areas. His estimates of city population sizes have been criticized due to his rough approximations using the several proxies without rigorously relying on archaeological evidence (Smith</w:t>
      </w:r>
      <w:r w:rsidR="00DE4C81">
        <w:rPr>
          <w:rFonts w:ascii="Garamond" w:hAnsi="Garamond" w:cs="Gisha"/>
          <w:sz w:val="24"/>
          <w:szCs w:val="24"/>
        </w:rPr>
        <w:t xml:space="preserve"> 2016</w:t>
      </w:r>
      <w:r w:rsidR="00450D3B">
        <w:rPr>
          <w:rFonts w:ascii="Garamond" w:hAnsi="Garamond" w:cs="Gisha"/>
          <w:sz w:val="24"/>
          <w:szCs w:val="24"/>
        </w:rPr>
        <w:t>a</w:t>
      </w:r>
      <w:r w:rsidR="00DE4C81" w:rsidRPr="00C85EDC">
        <w:rPr>
          <w:rFonts w:ascii="Garamond" w:hAnsi="Garamond" w:cs="Gisha"/>
          <w:sz w:val="24"/>
          <w:szCs w:val="24"/>
        </w:rPr>
        <w:t xml:space="preserve">). </w:t>
      </w:r>
    </w:p>
    <w:p w:rsidR="00DE4C81" w:rsidRPr="00C85EDC" w:rsidRDefault="00DE4C81" w:rsidP="00DE4C81">
      <w:pPr>
        <w:ind w:firstLine="720"/>
        <w:rPr>
          <w:rFonts w:ascii="Garamond" w:hAnsi="Garamond" w:cs="Gisha"/>
          <w:sz w:val="24"/>
          <w:szCs w:val="24"/>
          <w:highlight w:val="yellow"/>
        </w:rPr>
      </w:pPr>
      <w:proofErr w:type="spellStart"/>
      <w:r w:rsidRPr="00C85EDC">
        <w:rPr>
          <w:rFonts w:ascii="Garamond" w:hAnsi="Garamond" w:cs="Gisha"/>
          <w:sz w:val="24"/>
          <w:szCs w:val="24"/>
        </w:rPr>
        <w:t>Modelski</w:t>
      </w:r>
      <w:proofErr w:type="spellEnd"/>
      <w:r w:rsidRPr="00C85EDC">
        <w:rPr>
          <w:rFonts w:ascii="Garamond" w:hAnsi="Garamond" w:cs="Gisha"/>
          <w:sz w:val="24"/>
          <w:szCs w:val="24"/>
        </w:rPr>
        <w:t xml:space="preserve"> regards cities as "the central places of area-wide interactions; they facilitate the operation of the system, and in turn depend upon its support" (</w:t>
      </w:r>
      <w:proofErr w:type="spellStart"/>
      <w:r w:rsidRPr="00C85EDC">
        <w:rPr>
          <w:rFonts w:ascii="Garamond" w:hAnsi="Garamond" w:cs="Gisha"/>
          <w:sz w:val="24"/>
          <w:szCs w:val="24"/>
        </w:rPr>
        <w:t>Modelski</w:t>
      </w:r>
      <w:proofErr w:type="spellEnd"/>
      <w:r w:rsidRPr="00C85EDC">
        <w:rPr>
          <w:rFonts w:ascii="Garamond" w:hAnsi="Garamond" w:cs="Gisha"/>
          <w:sz w:val="24"/>
          <w:szCs w:val="24"/>
        </w:rPr>
        <w:t xml:space="preserve"> 2003: 4).  </w:t>
      </w:r>
      <w:r>
        <w:rPr>
          <w:rFonts w:ascii="Garamond" w:hAnsi="Garamond" w:cs="Gisha"/>
          <w:sz w:val="24"/>
          <w:szCs w:val="24"/>
        </w:rPr>
        <w:t>He argue</w:t>
      </w:r>
      <w:r w:rsidRPr="00C85EDC">
        <w:rPr>
          <w:rFonts w:ascii="Garamond" w:hAnsi="Garamond" w:cs="Gisha"/>
          <w:sz w:val="24"/>
          <w:szCs w:val="24"/>
        </w:rPr>
        <w:t>s that cities are "a manifestation of the growth of institutions capable of organizing vast regions into integrated systems" (he uses Richard Blanton's definition, which is the urban agglomeration) (</w:t>
      </w:r>
      <w:proofErr w:type="spellStart"/>
      <w:r w:rsidRPr="00C85EDC">
        <w:rPr>
          <w:rFonts w:ascii="Garamond" w:hAnsi="Garamond" w:cs="Gisha"/>
          <w:sz w:val="24"/>
          <w:szCs w:val="24"/>
        </w:rPr>
        <w:t>Modelski</w:t>
      </w:r>
      <w:proofErr w:type="spellEnd"/>
      <w:r w:rsidRPr="00C85EDC">
        <w:rPr>
          <w:rFonts w:ascii="Garamond" w:hAnsi="Garamond" w:cs="Gisha"/>
          <w:sz w:val="24"/>
          <w:szCs w:val="24"/>
        </w:rPr>
        <w:t xml:space="preserve"> 2003: 4).</w:t>
      </w:r>
      <w:r>
        <w:rPr>
          <w:rStyle w:val="FootnoteReference"/>
          <w:rFonts w:ascii="Garamond" w:hAnsi="Garamond" w:cs="Gisha"/>
          <w:sz w:val="24"/>
          <w:szCs w:val="24"/>
        </w:rPr>
        <w:footnoteReference w:id="11"/>
      </w:r>
      <w:r w:rsidRPr="00C85EDC">
        <w:rPr>
          <w:rFonts w:ascii="Garamond" w:hAnsi="Garamond" w:cs="Gisha"/>
          <w:sz w:val="24"/>
          <w:szCs w:val="24"/>
        </w:rPr>
        <w:t xml:space="preserve">  </w:t>
      </w:r>
    </w:p>
    <w:p w:rsidR="003B03C2" w:rsidRPr="00C85EDC" w:rsidRDefault="00BC1874" w:rsidP="00DE4C81">
      <w:pPr>
        <w:ind w:firstLine="720"/>
        <w:rPr>
          <w:rFonts w:ascii="Garamond" w:hAnsi="Garamond" w:cs="Gisha"/>
          <w:sz w:val="24"/>
          <w:szCs w:val="24"/>
        </w:rPr>
      </w:pPr>
      <w:r w:rsidRPr="00C85EDC">
        <w:rPr>
          <w:rFonts w:ascii="Garamond" w:hAnsi="Garamond" w:cs="Gisha"/>
          <w:sz w:val="24"/>
          <w:szCs w:val="24"/>
        </w:rPr>
        <w:t xml:space="preserve">Morris </w:t>
      </w:r>
      <w:r w:rsidR="008274D6" w:rsidRPr="00C85EDC">
        <w:rPr>
          <w:rFonts w:ascii="Garamond" w:hAnsi="Garamond" w:cs="Gisha"/>
          <w:sz w:val="24"/>
          <w:szCs w:val="24"/>
        </w:rPr>
        <w:t>reviews</w:t>
      </w:r>
      <w:r w:rsidRPr="00C85EDC">
        <w:rPr>
          <w:rFonts w:ascii="Garamond" w:hAnsi="Garamond" w:cs="Gisha"/>
          <w:sz w:val="24"/>
          <w:szCs w:val="24"/>
        </w:rPr>
        <w:t xml:space="preserve"> the debate</w:t>
      </w:r>
      <w:r w:rsidR="00DD6438">
        <w:rPr>
          <w:rFonts w:ascii="Garamond" w:hAnsi="Garamond" w:cs="Gisha"/>
          <w:sz w:val="24"/>
          <w:szCs w:val="24"/>
        </w:rPr>
        <w:t>s</w:t>
      </w:r>
      <w:r w:rsidRPr="00C85EDC">
        <w:rPr>
          <w:rFonts w:ascii="Garamond" w:hAnsi="Garamond" w:cs="Gisha"/>
          <w:sz w:val="24"/>
          <w:szCs w:val="24"/>
        </w:rPr>
        <w:t xml:space="preserve"> among demographers</w:t>
      </w:r>
      <w:r w:rsidR="008274D6" w:rsidRPr="00C85EDC">
        <w:rPr>
          <w:rFonts w:ascii="Garamond" w:hAnsi="Garamond" w:cs="Gisha"/>
          <w:sz w:val="24"/>
          <w:szCs w:val="24"/>
        </w:rPr>
        <w:t xml:space="preserve"> and urbanists about</w:t>
      </w:r>
      <w:r w:rsidRPr="00C85EDC">
        <w:rPr>
          <w:rFonts w:ascii="Garamond" w:hAnsi="Garamond" w:cs="Gisha"/>
          <w:sz w:val="24"/>
          <w:szCs w:val="24"/>
        </w:rPr>
        <w:t xml:space="preserve"> the definition</w:t>
      </w:r>
      <w:r w:rsidR="008274D6" w:rsidRPr="00C85EDC">
        <w:rPr>
          <w:rFonts w:ascii="Garamond" w:hAnsi="Garamond" w:cs="Gisha"/>
          <w:sz w:val="24"/>
          <w:szCs w:val="24"/>
        </w:rPr>
        <w:t>s</w:t>
      </w:r>
      <w:r w:rsidRPr="00C85EDC">
        <w:rPr>
          <w:rFonts w:ascii="Garamond" w:hAnsi="Garamond" w:cs="Gisha"/>
          <w:sz w:val="24"/>
          <w:szCs w:val="24"/>
        </w:rPr>
        <w:t xml:space="preserve"> of urban</w:t>
      </w:r>
      <w:r w:rsidR="008274D6" w:rsidRPr="00C85EDC">
        <w:rPr>
          <w:rFonts w:ascii="Garamond" w:hAnsi="Garamond" w:cs="Gisha"/>
          <w:sz w:val="24"/>
          <w:szCs w:val="24"/>
        </w:rPr>
        <w:t xml:space="preserve"> spatial</w:t>
      </w:r>
      <w:r w:rsidRPr="00C85EDC">
        <w:rPr>
          <w:rFonts w:ascii="Garamond" w:hAnsi="Garamond" w:cs="Gisha"/>
          <w:sz w:val="24"/>
          <w:szCs w:val="24"/>
        </w:rPr>
        <w:t xml:space="preserve"> boundaries and the reliability of census data (Morris 2010: 107).  </w:t>
      </w:r>
      <w:r w:rsidR="003E547F" w:rsidRPr="00C85EDC">
        <w:rPr>
          <w:rFonts w:ascii="Garamond" w:hAnsi="Garamond" w:cs="Gisha"/>
          <w:sz w:val="24"/>
          <w:szCs w:val="24"/>
        </w:rPr>
        <w:t>In his work</w:t>
      </w:r>
      <w:r w:rsidR="009624E0">
        <w:rPr>
          <w:rFonts w:ascii="Garamond" w:hAnsi="Garamond" w:cs="Gisha"/>
          <w:sz w:val="24"/>
          <w:szCs w:val="24"/>
        </w:rPr>
        <w:t xml:space="preserve"> premodern</w:t>
      </w:r>
      <w:r w:rsidR="006A3030" w:rsidRPr="00C85EDC">
        <w:rPr>
          <w:rFonts w:ascii="Garamond" w:hAnsi="Garamond" w:cs="Gisha"/>
          <w:sz w:val="24"/>
          <w:szCs w:val="24"/>
        </w:rPr>
        <w:t xml:space="preserve"> settlement </w:t>
      </w:r>
      <w:r w:rsidR="008274D6" w:rsidRPr="00C85EDC">
        <w:rPr>
          <w:rFonts w:ascii="Garamond" w:hAnsi="Garamond" w:cs="Gisha"/>
          <w:sz w:val="24"/>
          <w:szCs w:val="24"/>
        </w:rPr>
        <w:t>size estimates</w:t>
      </w:r>
      <w:r w:rsidR="006A3030" w:rsidRPr="00C85EDC">
        <w:rPr>
          <w:rFonts w:ascii="Garamond" w:hAnsi="Garamond" w:cs="Gisha"/>
          <w:sz w:val="24"/>
          <w:szCs w:val="24"/>
        </w:rPr>
        <w:t xml:space="preserve"> are </w:t>
      </w:r>
      <w:r w:rsidR="008274D6" w:rsidRPr="00C85EDC">
        <w:rPr>
          <w:rFonts w:ascii="Garamond" w:hAnsi="Garamond" w:cs="Gisha"/>
          <w:sz w:val="24"/>
          <w:szCs w:val="24"/>
        </w:rPr>
        <w:t>based on</w:t>
      </w:r>
      <w:r w:rsidR="00304423">
        <w:rPr>
          <w:rFonts w:ascii="Garamond" w:hAnsi="Garamond" w:cs="Gisha"/>
          <w:sz w:val="24"/>
          <w:szCs w:val="24"/>
        </w:rPr>
        <w:t xml:space="preserve"> archaeological</w:t>
      </w:r>
      <w:r w:rsidR="008274D6" w:rsidRPr="00C85EDC">
        <w:rPr>
          <w:rFonts w:ascii="Garamond" w:hAnsi="Garamond" w:cs="Gisha"/>
          <w:sz w:val="24"/>
          <w:szCs w:val="24"/>
        </w:rPr>
        <w:t xml:space="preserve"> evidence of their areal size</w:t>
      </w:r>
      <w:r w:rsidR="006A3030" w:rsidRPr="00C85EDC">
        <w:rPr>
          <w:rFonts w:ascii="Garamond" w:hAnsi="Garamond" w:cs="Gisha"/>
          <w:sz w:val="24"/>
          <w:szCs w:val="24"/>
        </w:rPr>
        <w:t xml:space="preserve"> and historical </w:t>
      </w:r>
      <w:r w:rsidR="003E547F" w:rsidRPr="00C85EDC">
        <w:rPr>
          <w:rFonts w:ascii="Garamond" w:hAnsi="Garamond" w:cs="Gisha"/>
          <w:sz w:val="24"/>
          <w:szCs w:val="24"/>
        </w:rPr>
        <w:t>records</w:t>
      </w:r>
      <w:r w:rsidR="008274D6" w:rsidRPr="00C85EDC">
        <w:rPr>
          <w:rFonts w:ascii="Garamond" w:hAnsi="Garamond" w:cs="Gisha"/>
          <w:sz w:val="24"/>
          <w:szCs w:val="24"/>
        </w:rPr>
        <w:t xml:space="preserve"> </w:t>
      </w:r>
      <w:r w:rsidR="00C163C2" w:rsidRPr="00C85EDC">
        <w:rPr>
          <w:rFonts w:ascii="Garamond" w:hAnsi="Garamond" w:cs="Gisha"/>
          <w:sz w:val="24"/>
          <w:szCs w:val="24"/>
        </w:rPr>
        <w:t>(Morris 2010: 108)</w:t>
      </w:r>
      <w:r w:rsidR="003E547F" w:rsidRPr="00C85EDC">
        <w:rPr>
          <w:rFonts w:ascii="Garamond" w:hAnsi="Garamond" w:cs="Gisha"/>
          <w:sz w:val="24"/>
          <w:szCs w:val="24"/>
        </w:rPr>
        <w:t xml:space="preserve">. </w:t>
      </w:r>
      <w:r w:rsidR="008274D6" w:rsidRPr="00C85EDC">
        <w:rPr>
          <w:rFonts w:ascii="Garamond" w:hAnsi="Garamond" w:cs="Gisha"/>
          <w:sz w:val="24"/>
          <w:szCs w:val="24"/>
        </w:rPr>
        <w:t xml:space="preserve"> For modern </w:t>
      </w:r>
      <w:r w:rsidR="00C163C2" w:rsidRPr="00C85EDC">
        <w:rPr>
          <w:rFonts w:ascii="Garamond" w:hAnsi="Garamond" w:cs="Gisha"/>
          <w:sz w:val="24"/>
          <w:szCs w:val="24"/>
        </w:rPr>
        <w:t>cities</w:t>
      </w:r>
      <w:r w:rsidR="008274D6" w:rsidRPr="00C85EDC">
        <w:rPr>
          <w:rFonts w:ascii="Garamond" w:hAnsi="Garamond" w:cs="Gisha"/>
          <w:sz w:val="24"/>
          <w:szCs w:val="24"/>
        </w:rPr>
        <w:t xml:space="preserve"> </w:t>
      </w:r>
      <w:r w:rsidR="009624E0">
        <w:rPr>
          <w:rFonts w:ascii="Garamond" w:hAnsi="Garamond" w:cs="Gisha"/>
          <w:sz w:val="24"/>
          <w:szCs w:val="24"/>
        </w:rPr>
        <w:t>Morris</w:t>
      </w:r>
      <w:r w:rsidR="008274D6" w:rsidRPr="00C85EDC">
        <w:rPr>
          <w:rFonts w:ascii="Garamond" w:hAnsi="Garamond" w:cs="Gisha"/>
          <w:sz w:val="24"/>
          <w:szCs w:val="24"/>
        </w:rPr>
        <w:t xml:space="preserve"> uses</w:t>
      </w:r>
      <w:r w:rsidR="00C163C2" w:rsidRPr="00C85EDC">
        <w:rPr>
          <w:rFonts w:ascii="Garamond" w:hAnsi="Garamond" w:cs="Gisha"/>
          <w:sz w:val="24"/>
          <w:szCs w:val="24"/>
        </w:rPr>
        <w:t xml:space="preserve"> </w:t>
      </w:r>
      <w:r w:rsidR="009624E0">
        <w:rPr>
          <w:rFonts w:ascii="Garamond" w:hAnsi="Garamond" w:cs="Gisha"/>
          <w:sz w:val="24"/>
          <w:szCs w:val="24"/>
        </w:rPr>
        <w:t xml:space="preserve">the </w:t>
      </w:r>
      <w:r w:rsidR="008274D6" w:rsidRPr="00C85EDC">
        <w:rPr>
          <w:rFonts w:ascii="Garamond" w:hAnsi="Garamond" w:cs="Gisha"/>
          <w:sz w:val="24"/>
          <w:szCs w:val="24"/>
        </w:rPr>
        <w:t xml:space="preserve">definition and estimates from </w:t>
      </w:r>
      <w:r w:rsidR="003B03C2" w:rsidRPr="00C85EDC">
        <w:rPr>
          <w:rFonts w:ascii="Garamond" w:hAnsi="Garamond" w:cs="Gisha"/>
          <w:sz w:val="24"/>
          <w:szCs w:val="24"/>
        </w:rPr>
        <w:t xml:space="preserve">the </w:t>
      </w:r>
      <w:r w:rsidR="00AE4FC9" w:rsidRPr="00C85EDC">
        <w:rPr>
          <w:rFonts w:ascii="Garamond" w:hAnsi="Garamond" w:cs="Gisha"/>
          <w:i/>
          <w:sz w:val="24"/>
          <w:szCs w:val="24"/>
        </w:rPr>
        <w:t>Economist Pocket World in Figures</w:t>
      </w:r>
      <w:r w:rsidR="00AE4FC9" w:rsidRPr="00C85EDC">
        <w:rPr>
          <w:rFonts w:ascii="Garamond" w:hAnsi="Garamond" w:cs="Gisha"/>
          <w:sz w:val="24"/>
          <w:szCs w:val="24"/>
        </w:rPr>
        <w:t xml:space="preserve">, </w:t>
      </w:r>
      <w:r w:rsidR="008274D6" w:rsidRPr="00C85EDC">
        <w:rPr>
          <w:rFonts w:ascii="Garamond" w:hAnsi="Garamond" w:cs="Gisha"/>
          <w:sz w:val="24"/>
          <w:szCs w:val="24"/>
        </w:rPr>
        <w:t xml:space="preserve">which bounds cities </w:t>
      </w:r>
      <w:r w:rsidR="0018142E" w:rsidRPr="00C85EDC">
        <w:rPr>
          <w:rFonts w:ascii="Garamond" w:hAnsi="Garamond" w:cs="Gisha"/>
          <w:sz w:val="24"/>
          <w:szCs w:val="24"/>
        </w:rPr>
        <w:t>as urban</w:t>
      </w:r>
      <w:r w:rsidR="003B03C2" w:rsidRPr="00C85EDC">
        <w:rPr>
          <w:rFonts w:ascii="Garamond" w:hAnsi="Garamond" w:cs="Gisha"/>
          <w:sz w:val="24"/>
          <w:szCs w:val="24"/>
        </w:rPr>
        <w:t xml:space="preserve"> agglomeration</w:t>
      </w:r>
      <w:r w:rsidR="008274D6" w:rsidRPr="00C85EDC">
        <w:rPr>
          <w:rFonts w:ascii="Garamond" w:hAnsi="Garamond" w:cs="Gisha"/>
          <w:sz w:val="24"/>
          <w:szCs w:val="24"/>
        </w:rPr>
        <w:t>s</w:t>
      </w:r>
      <w:r w:rsidR="003B03C2" w:rsidRPr="00C85EDC">
        <w:rPr>
          <w:rFonts w:ascii="Garamond" w:hAnsi="Garamond" w:cs="Gisha"/>
          <w:sz w:val="24"/>
          <w:szCs w:val="24"/>
        </w:rPr>
        <w:t xml:space="preserve"> comprising a </w:t>
      </w:r>
      <w:r w:rsidR="008274D6" w:rsidRPr="00C85EDC">
        <w:rPr>
          <w:rFonts w:ascii="Garamond" w:hAnsi="Garamond" w:cs="Gisha"/>
          <w:sz w:val="24"/>
          <w:szCs w:val="24"/>
        </w:rPr>
        <w:t xml:space="preserve">contiguous </w:t>
      </w:r>
      <w:r w:rsidR="003B03C2" w:rsidRPr="00C85EDC">
        <w:rPr>
          <w:rFonts w:ascii="Garamond" w:hAnsi="Garamond" w:cs="Gisha"/>
          <w:sz w:val="24"/>
          <w:szCs w:val="24"/>
        </w:rPr>
        <w:t>built-up area (Economist 20</w:t>
      </w:r>
      <w:r w:rsidR="003E547F" w:rsidRPr="00C85EDC">
        <w:rPr>
          <w:rFonts w:ascii="Garamond" w:hAnsi="Garamond" w:cs="Gisha"/>
          <w:sz w:val="24"/>
          <w:szCs w:val="24"/>
        </w:rPr>
        <w:t xml:space="preserve">08: 23).  </w:t>
      </w:r>
    </w:p>
    <w:p w:rsidR="00DE4C81" w:rsidRDefault="00081482" w:rsidP="009E28B3">
      <w:pPr>
        <w:ind w:firstLine="720"/>
        <w:rPr>
          <w:rFonts w:ascii="Garamond" w:hAnsi="Garamond" w:cs="Gisha"/>
          <w:sz w:val="24"/>
          <w:szCs w:val="24"/>
        </w:rPr>
      </w:pPr>
      <w:r w:rsidRPr="00C85EDC">
        <w:rPr>
          <w:rFonts w:ascii="Garamond" w:hAnsi="Garamond" w:cs="Gisha"/>
          <w:sz w:val="24"/>
          <w:szCs w:val="24"/>
        </w:rPr>
        <w:t xml:space="preserve">From the comparisons of these three data sources, </w:t>
      </w:r>
      <w:r w:rsidR="00CC245A" w:rsidRPr="00C85EDC">
        <w:rPr>
          <w:rFonts w:ascii="Garamond" w:hAnsi="Garamond" w:cs="Gisha"/>
          <w:sz w:val="24"/>
          <w:szCs w:val="24"/>
        </w:rPr>
        <w:t>we</w:t>
      </w:r>
      <w:r w:rsidR="00C965A5" w:rsidRPr="00C85EDC">
        <w:rPr>
          <w:rFonts w:ascii="Garamond" w:hAnsi="Garamond" w:cs="Gisha"/>
          <w:sz w:val="24"/>
          <w:szCs w:val="24"/>
        </w:rPr>
        <w:t xml:space="preserve"> have</w:t>
      </w:r>
      <w:r w:rsidR="00CC245A" w:rsidRPr="00C85EDC">
        <w:rPr>
          <w:rFonts w:ascii="Garamond" w:hAnsi="Garamond" w:cs="Gisha"/>
          <w:sz w:val="24"/>
          <w:szCs w:val="24"/>
        </w:rPr>
        <w:t xml:space="preserve"> found</w:t>
      </w:r>
      <w:r w:rsidR="00C965A5" w:rsidRPr="00C85EDC">
        <w:rPr>
          <w:rFonts w:ascii="Garamond" w:hAnsi="Garamond" w:cs="Gisha"/>
          <w:sz w:val="24"/>
          <w:szCs w:val="24"/>
        </w:rPr>
        <w:t xml:space="preserve"> </w:t>
      </w:r>
      <w:r w:rsidR="0018142E" w:rsidRPr="00C85EDC">
        <w:rPr>
          <w:rFonts w:ascii="Garamond" w:hAnsi="Garamond" w:cs="Gisha"/>
          <w:sz w:val="24"/>
          <w:szCs w:val="24"/>
        </w:rPr>
        <w:t>that Morris’s</w:t>
      </w:r>
      <w:r w:rsidR="00C965A5" w:rsidRPr="00C85EDC">
        <w:rPr>
          <w:rFonts w:ascii="Garamond" w:hAnsi="Garamond" w:cs="Gisha"/>
          <w:sz w:val="24"/>
          <w:szCs w:val="24"/>
        </w:rPr>
        <w:t xml:space="preserve"> estimates</w:t>
      </w:r>
      <w:r w:rsidR="00CC245A" w:rsidRPr="00C85EDC">
        <w:rPr>
          <w:rFonts w:ascii="Garamond" w:hAnsi="Garamond" w:cs="Gisha"/>
          <w:sz w:val="24"/>
          <w:szCs w:val="24"/>
        </w:rPr>
        <w:t xml:space="preserve"> are </w:t>
      </w:r>
      <w:r w:rsidR="00DE4C81">
        <w:rPr>
          <w:rFonts w:ascii="Garamond" w:hAnsi="Garamond" w:cs="Gisha"/>
          <w:sz w:val="24"/>
          <w:szCs w:val="24"/>
        </w:rPr>
        <w:t xml:space="preserve">most usually more </w:t>
      </w:r>
      <w:r w:rsidR="00CC245A" w:rsidRPr="00C85EDC">
        <w:rPr>
          <w:rFonts w:ascii="Garamond" w:hAnsi="Garamond" w:cs="Gisha"/>
          <w:sz w:val="24"/>
          <w:szCs w:val="24"/>
        </w:rPr>
        <w:t xml:space="preserve">conservative </w:t>
      </w:r>
      <w:r w:rsidR="00DE4C81">
        <w:rPr>
          <w:rFonts w:ascii="Garamond" w:hAnsi="Garamond" w:cs="Gisha"/>
          <w:sz w:val="24"/>
          <w:szCs w:val="24"/>
        </w:rPr>
        <w:t xml:space="preserve">as to the sizes of cities compared with those of </w:t>
      </w:r>
      <w:proofErr w:type="spellStart"/>
      <w:r w:rsidR="00C965A5" w:rsidRPr="00C85EDC">
        <w:rPr>
          <w:rFonts w:ascii="Garamond" w:hAnsi="Garamond" w:cs="Gisha"/>
          <w:sz w:val="24"/>
          <w:szCs w:val="24"/>
        </w:rPr>
        <w:t>Modelski</w:t>
      </w:r>
      <w:proofErr w:type="spellEnd"/>
      <w:r w:rsidR="00DE4C81">
        <w:rPr>
          <w:rFonts w:ascii="Garamond" w:hAnsi="Garamond" w:cs="Gisha"/>
          <w:sz w:val="24"/>
          <w:szCs w:val="24"/>
        </w:rPr>
        <w:t>.</w:t>
      </w:r>
      <w:r w:rsidR="008A2890">
        <w:rPr>
          <w:rFonts w:ascii="Garamond" w:hAnsi="Garamond" w:cs="Gisha"/>
          <w:sz w:val="24"/>
          <w:szCs w:val="24"/>
        </w:rPr>
        <w:t xml:space="preserve">  Morris compiled</w:t>
      </w:r>
      <w:r w:rsidR="001A30A7">
        <w:rPr>
          <w:rFonts w:ascii="Garamond" w:hAnsi="Garamond" w:cs="Gisha"/>
          <w:sz w:val="24"/>
          <w:szCs w:val="24"/>
        </w:rPr>
        <w:t xml:space="preserve"> his largest city size data using multiple data sources.  He </w:t>
      </w:r>
      <w:r w:rsidR="008A2890">
        <w:rPr>
          <w:rFonts w:ascii="Garamond" w:hAnsi="Garamond" w:cs="Gisha"/>
          <w:sz w:val="24"/>
          <w:szCs w:val="24"/>
        </w:rPr>
        <w:t>selects what he considers to be</w:t>
      </w:r>
      <w:r w:rsidR="001A30A7">
        <w:rPr>
          <w:rFonts w:ascii="Garamond" w:hAnsi="Garamond" w:cs="Gisha"/>
          <w:sz w:val="24"/>
          <w:szCs w:val="24"/>
        </w:rPr>
        <w:t xml:space="preserve"> the best</w:t>
      </w:r>
      <w:r w:rsidR="008A2890">
        <w:rPr>
          <w:rFonts w:ascii="Garamond" w:hAnsi="Garamond" w:cs="Gisha"/>
          <w:sz w:val="24"/>
          <w:szCs w:val="24"/>
        </w:rPr>
        <w:t xml:space="preserve"> of the</w:t>
      </w:r>
      <w:r w:rsidR="001A30A7">
        <w:rPr>
          <w:rFonts w:ascii="Garamond" w:hAnsi="Garamond" w:cs="Gisha"/>
          <w:sz w:val="24"/>
          <w:szCs w:val="24"/>
        </w:rPr>
        <w:t xml:space="preserve"> estimate</w:t>
      </w:r>
      <w:r w:rsidR="008A2890">
        <w:rPr>
          <w:rFonts w:ascii="Garamond" w:hAnsi="Garamond" w:cs="Gisha"/>
          <w:sz w:val="24"/>
          <w:szCs w:val="24"/>
        </w:rPr>
        <w:t>s</w:t>
      </w:r>
      <w:r w:rsidR="001A30A7">
        <w:rPr>
          <w:rFonts w:ascii="Garamond" w:hAnsi="Garamond" w:cs="Gisha"/>
          <w:sz w:val="24"/>
          <w:szCs w:val="24"/>
        </w:rPr>
        <w:t xml:space="preserve"> among them, yet he is aware of the fact that the use of a single data source (e.g. only using </w:t>
      </w:r>
      <w:proofErr w:type="spellStart"/>
      <w:r w:rsidR="001A30A7">
        <w:rPr>
          <w:rFonts w:ascii="Garamond" w:hAnsi="Garamond" w:cs="Gisha"/>
          <w:sz w:val="24"/>
          <w:szCs w:val="24"/>
        </w:rPr>
        <w:t>Modelski’s</w:t>
      </w:r>
      <w:proofErr w:type="spellEnd"/>
      <w:r w:rsidR="001A30A7">
        <w:rPr>
          <w:rFonts w:ascii="Garamond" w:hAnsi="Garamond" w:cs="Gisha"/>
          <w:sz w:val="24"/>
          <w:szCs w:val="24"/>
        </w:rPr>
        <w:t xml:space="preserve"> data) makes it easier to amend errors since it provides more consistent errors compared with using multiple sources </w:t>
      </w:r>
      <w:r w:rsidR="00CC245A" w:rsidRPr="001A30A7">
        <w:rPr>
          <w:rFonts w:ascii="Garamond" w:hAnsi="Garamond" w:cs="Gisha"/>
          <w:sz w:val="24"/>
          <w:szCs w:val="24"/>
        </w:rPr>
        <w:t>(Morris 2010: 108).</w:t>
      </w:r>
      <w:r w:rsidR="00C965A5" w:rsidRPr="00C85EDC">
        <w:rPr>
          <w:rFonts w:ascii="Garamond" w:hAnsi="Garamond" w:cs="Gisha"/>
          <w:sz w:val="24"/>
          <w:szCs w:val="24"/>
        </w:rPr>
        <w:t xml:space="preserve"> </w:t>
      </w:r>
      <w:r w:rsidR="001A30A7">
        <w:rPr>
          <w:rFonts w:ascii="Garamond" w:hAnsi="Garamond" w:cs="Gisha"/>
          <w:sz w:val="24"/>
          <w:szCs w:val="24"/>
        </w:rPr>
        <w:t xml:space="preserve"> </w:t>
      </w:r>
    </w:p>
    <w:p w:rsidR="001A30A7" w:rsidRDefault="00F019DD" w:rsidP="009E28B3">
      <w:pPr>
        <w:ind w:firstLine="720"/>
        <w:rPr>
          <w:rFonts w:ascii="Garamond" w:hAnsi="Garamond" w:cs="Gisha"/>
          <w:sz w:val="24"/>
          <w:szCs w:val="24"/>
        </w:rPr>
      </w:pPr>
      <w:r w:rsidRPr="00C85EDC">
        <w:rPr>
          <w:rFonts w:ascii="Garamond" w:hAnsi="Garamond" w:cs="Gisha"/>
          <w:sz w:val="24"/>
          <w:szCs w:val="24"/>
        </w:rPr>
        <w:t>We</w:t>
      </w:r>
      <w:r w:rsidR="00CC245A" w:rsidRPr="00C85EDC">
        <w:rPr>
          <w:rFonts w:ascii="Garamond" w:hAnsi="Garamond" w:cs="Gisha"/>
          <w:sz w:val="24"/>
          <w:szCs w:val="24"/>
        </w:rPr>
        <w:t xml:space="preserve"> compiled </w:t>
      </w:r>
      <w:r w:rsidR="00C965A5" w:rsidRPr="00C85EDC">
        <w:rPr>
          <w:rFonts w:ascii="Garamond" w:hAnsi="Garamond" w:cs="Gisha"/>
          <w:sz w:val="24"/>
          <w:szCs w:val="24"/>
        </w:rPr>
        <w:t>our estimates</w:t>
      </w:r>
      <w:r w:rsidR="00CC245A" w:rsidRPr="00C85EDC">
        <w:rPr>
          <w:rFonts w:ascii="Garamond" w:hAnsi="Garamond" w:cs="Gisha"/>
          <w:sz w:val="24"/>
          <w:szCs w:val="24"/>
        </w:rPr>
        <w:t xml:space="preserve"> in a similar manner as Morris</w:t>
      </w:r>
      <w:r w:rsidR="001A30A7">
        <w:rPr>
          <w:rFonts w:ascii="Garamond" w:hAnsi="Garamond" w:cs="Gisha"/>
          <w:sz w:val="24"/>
          <w:szCs w:val="24"/>
        </w:rPr>
        <w:t xml:space="preserve"> and followed</w:t>
      </w:r>
      <w:r w:rsidR="008E41E5" w:rsidRPr="00C85EDC">
        <w:rPr>
          <w:rFonts w:ascii="Garamond" w:hAnsi="Garamond" w:cs="Gisha"/>
          <w:sz w:val="24"/>
          <w:szCs w:val="24"/>
        </w:rPr>
        <w:t xml:space="preserve"> the comprehensive approach developed by Daniel </w:t>
      </w:r>
      <w:proofErr w:type="spellStart"/>
      <w:r w:rsidR="008E41E5" w:rsidRPr="00C85EDC">
        <w:rPr>
          <w:rFonts w:ascii="Garamond" w:hAnsi="Garamond" w:cs="Gisha"/>
          <w:sz w:val="24"/>
          <w:szCs w:val="24"/>
        </w:rPr>
        <w:t>Pasciuti</w:t>
      </w:r>
      <w:proofErr w:type="spellEnd"/>
      <w:r w:rsidR="008E41E5" w:rsidRPr="00C85EDC">
        <w:rPr>
          <w:rFonts w:ascii="Garamond" w:hAnsi="Garamond" w:cs="Gisha"/>
          <w:sz w:val="24"/>
          <w:szCs w:val="24"/>
        </w:rPr>
        <w:t xml:space="preserve"> (2002)</w:t>
      </w:r>
      <w:r w:rsidR="00CC245A" w:rsidRPr="00C85EDC">
        <w:rPr>
          <w:rFonts w:ascii="Garamond" w:hAnsi="Garamond" w:cs="Gisha"/>
          <w:sz w:val="24"/>
          <w:szCs w:val="24"/>
        </w:rPr>
        <w:t xml:space="preserve">.  </w:t>
      </w:r>
      <w:r w:rsidR="008E41E5" w:rsidRPr="00C85EDC">
        <w:rPr>
          <w:rFonts w:ascii="Garamond" w:hAnsi="Garamond" w:cs="Gisha"/>
          <w:sz w:val="24"/>
          <w:szCs w:val="24"/>
        </w:rPr>
        <w:t>In our data compendium of city population estimates</w:t>
      </w:r>
      <w:r w:rsidR="001A30A7">
        <w:rPr>
          <w:rFonts w:ascii="Garamond" w:hAnsi="Garamond" w:cs="Gisha"/>
          <w:sz w:val="24"/>
          <w:szCs w:val="24"/>
        </w:rPr>
        <w:t xml:space="preserve"> archived at the IROWS,</w:t>
      </w:r>
      <w:r w:rsidR="00DE4C81">
        <w:rPr>
          <w:rStyle w:val="FootnoteReference"/>
          <w:rFonts w:ascii="Garamond" w:hAnsi="Garamond" w:cs="Gisha"/>
          <w:sz w:val="24"/>
          <w:szCs w:val="24"/>
        </w:rPr>
        <w:footnoteReference w:id="12"/>
      </w:r>
      <w:r w:rsidR="008E41E5" w:rsidRPr="00C85EDC">
        <w:rPr>
          <w:rFonts w:ascii="Garamond" w:hAnsi="Garamond" w:cs="Gisha"/>
          <w:sz w:val="24"/>
          <w:szCs w:val="24"/>
        </w:rPr>
        <w:t xml:space="preserve"> we include all the estimates from all the sources, but in this research</w:t>
      </w:r>
      <w:r w:rsidR="001A30A7">
        <w:rPr>
          <w:rFonts w:ascii="Garamond" w:hAnsi="Garamond" w:cs="Gisha"/>
          <w:sz w:val="24"/>
          <w:szCs w:val="24"/>
        </w:rPr>
        <w:t>,</w:t>
      </w:r>
      <w:r w:rsidR="008E41E5" w:rsidRPr="00C85EDC">
        <w:rPr>
          <w:rFonts w:ascii="Garamond" w:hAnsi="Garamond" w:cs="Gisha"/>
          <w:sz w:val="24"/>
          <w:szCs w:val="24"/>
        </w:rPr>
        <w:t xml:space="preserve"> w</w:t>
      </w:r>
      <w:r w:rsidR="00CC245A" w:rsidRPr="00C85EDC">
        <w:rPr>
          <w:rFonts w:ascii="Garamond" w:hAnsi="Garamond" w:cs="Gisha"/>
          <w:sz w:val="24"/>
          <w:szCs w:val="24"/>
        </w:rPr>
        <w:t xml:space="preserve">e used </w:t>
      </w:r>
      <w:r w:rsidR="008E41E5" w:rsidRPr="00C85EDC">
        <w:rPr>
          <w:rFonts w:ascii="Garamond" w:hAnsi="Garamond" w:cs="Gisha"/>
          <w:sz w:val="24"/>
          <w:szCs w:val="24"/>
        </w:rPr>
        <w:t xml:space="preserve">what we have judged to be </w:t>
      </w:r>
      <w:r w:rsidR="00CC245A" w:rsidRPr="00C85EDC">
        <w:rPr>
          <w:rFonts w:ascii="Garamond" w:hAnsi="Garamond" w:cs="Gisha"/>
          <w:sz w:val="24"/>
          <w:szCs w:val="24"/>
        </w:rPr>
        <w:t xml:space="preserve">the best estimate </w:t>
      </w:r>
      <w:r w:rsidR="00C67F8C" w:rsidRPr="00C85EDC">
        <w:rPr>
          <w:rFonts w:ascii="Garamond" w:hAnsi="Garamond" w:cs="Gisha"/>
          <w:sz w:val="24"/>
          <w:szCs w:val="24"/>
        </w:rPr>
        <w:t xml:space="preserve">from the three sources and supplemented with </w:t>
      </w:r>
      <w:r w:rsidR="00C965A5" w:rsidRPr="00C85EDC">
        <w:rPr>
          <w:rFonts w:ascii="Garamond" w:hAnsi="Garamond" w:cs="Gisha"/>
          <w:sz w:val="24"/>
          <w:szCs w:val="24"/>
        </w:rPr>
        <w:t>other</w:t>
      </w:r>
      <w:r w:rsidR="00C67F8C" w:rsidRPr="00C85EDC">
        <w:rPr>
          <w:rFonts w:ascii="Garamond" w:hAnsi="Garamond" w:cs="Gisha"/>
          <w:sz w:val="24"/>
          <w:szCs w:val="24"/>
        </w:rPr>
        <w:t xml:space="preserve"> sources from archaeology and history.  </w:t>
      </w:r>
    </w:p>
    <w:p w:rsidR="00651665" w:rsidRDefault="00430535" w:rsidP="00651665">
      <w:pPr>
        <w:rPr>
          <w:rFonts w:ascii="Garamond" w:hAnsi="Garamond"/>
        </w:rPr>
      </w:pPr>
      <w:r w:rsidRPr="00C85EDC">
        <w:rPr>
          <w:rFonts w:ascii="Garamond" w:hAnsi="Garamond" w:cs="Gisha"/>
          <w:sz w:val="24"/>
          <w:szCs w:val="24"/>
        </w:rPr>
        <w:t xml:space="preserve"> </w:t>
      </w:r>
      <w:r w:rsidRPr="00C85EDC">
        <w:rPr>
          <w:rFonts w:ascii="Garamond" w:hAnsi="Garamond" w:cs="Gisha"/>
          <w:sz w:val="24"/>
          <w:szCs w:val="24"/>
        </w:rPr>
        <w:tab/>
      </w:r>
      <w:r w:rsidR="00E27A50" w:rsidRPr="00C85EDC">
        <w:rPr>
          <w:rFonts w:ascii="Garamond" w:hAnsi="Garamond"/>
          <w:sz w:val="24"/>
          <w:szCs w:val="24"/>
        </w:rPr>
        <w:t xml:space="preserve">We define settlements as a </w:t>
      </w:r>
      <w:r w:rsidR="00E27A50" w:rsidRPr="00C85EDC">
        <w:rPr>
          <w:rFonts w:ascii="Garamond" w:hAnsi="Garamond"/>
          <w:b/>
          <w:sz w:val="24"/>
          <w:szCs w:val="24"/>
        </w:rPr>
        <w:t>spatially contiguous built-up area</w:t>
      </w:r>
      <w:r w:rsidR="00E27A50" w:rsidRPr="00C85EDC">
        <w:rPr>
          <w:rFonts w:ascii="Garamond" w:hAnsi="Garamond"/>
          <w:sz w:val="24"/>
          <w:szCs w:val="24"/>
        </w:rPr>
        <w:t xml:space="preserve">. This is the best definition for comparing the sizes of settlements across different polities and cultures because it ignores the complicated issue of governance boundaries (e.g. municipal districts, </w:t>
      </w:r>
      <w:proofErr w:type="spellStart"/>
      <w:r w:rsidR="00E27A50" w:rsidRPr="00C85EDC">
        <w:rPr>
          <w:rFonts w:ascii="Garamond" w:hAnsi="Garamond"/>
          <w:sz w:val="24"/>
          <w:szCs w:val="24"/>
        </w:rPr>
        <w:t>etc</w:t>
      </w:r>
      <w:proofErr w:type="spellEnd"/>
      <w:r w:rsidR="00E27A50" w:rsidRPr="00C85EDC">
        <w:rPr>
          <w:rFonts w:ascii="Garamond" w:hAnsi="Garamond"/>
          <w:sz w:val="24"/>
          <w:szCs w:val="24"/>
        </w:rPr>
        <w:t xml:space="preserve">). But it still has some problems. Most cultures have nucleated settlements in which residential areas surround a monumental, governmental or commercial </w:t>
      </w:r>
      <w:r w:rsidR="00E27A50" w:rsidRPr="00C85EDC">
        <w:rPr>
          <w:rFonts w:ascii="Garamond" w:hAnsi="Garamond"/>
          <w:sz w:val="24"/>
          <w:szCs w:val="24"/>
        </w:rPr>
        <w:lastRenderedPageBreak/>
        <w:t xml:space="preserve">center. In such cases it is fairly easy to spatially bound a contiguous built up area based on the declining spatial density of human constructions. But other cultures space residences out rather than concentrating them near a central place (e.g. many of the settlements in the </w:t>
      </w:r>
      <w:proofErr w:type="spellStart"/>
      <w:r w:rsidR="00E27A50" w:rsidRPr="00C85EDC">
        <w:rPr>
          <w:rStyle w:val="spelle"/>
          <w:rFonts w:ascii="Garamond" w:hAnsi="Garamond"/>
          <w:sz w:val="24"/>
          <w:szCs w:val="24"/>
        </w:rPr>
        <w:t>preshistoric</w:t>
      </w:r>
      <w:proofErr w:type="spellEnd"/>
      <w:r w:rsidR="00E27A50" w:rsidRPr="00C85EDC">
        <w:rPr>
          <w:rFonts w:ascii="Garamond" w:hAnsi="Garamond"/>
          <w:sz w:val="24"/>
          <w:szCs w:val="24"/>
        </w:rPr>
        <w:t xml:space="preserve"> American Southwest such as Chaco Canyon).  In such cases it is necessary to choose a standard radius from the center in order to make comparisons of population sizes over time or across cultures</w:t>
      </w:r>
      <w:r w:rsidR="00E27A50">
        <w:rPr>
          <w:rFonts w:ascii="Garamond" w:hAnsi="Garamond"/>
        </w:rPr>
        <w:t>.</w:t>
      </w:r>
    </w:p>
    <w:p w:rsidR="00430535" w:rsidRPr="00F019DD" w:rsidRDefault="0086024A" w:rsidP="00651665">
      <w:pPr>
        <w:rPr>
          <w:rFonts w:ascii="Bookman Old Style" w:hAnsi="Bookman Old Style" w:cs="Gisha"/>
          <w:b/>
          <w:sz w:val="24"/>
          <w:szCs w:val="24"/>
        </w:rPr>
      </w:pPr>
      <w:r w:rsidRPr="00F019DD">
        <w:rPr>
          <w:rFonts w:ascii="Bookman Old Style" w:hAnsi="Bookman Old Style" w:cs="Gisha"/>
          <w:b/>
          <w:sz w:val="24"/>
          <w:szCs w:val="24"/>
        </w:rPr>
        <w:t>Estimating the territorial sizes of polities</w:t>
      </w:r>
    </w:p>
    <w:p w:rsidR="00C85EDC" w:rsidRDefault="0086024A" w:rsidP="00C85EDC">
      <w:pPr>
        <w:jc w:val="both"/>
        <w:rPr>
          <w:rFonts w:ascii="Garamond" w:eastAsia="Times New Roman" w:hAnsi="Garamond" w:cs="Times New Roman"/>
          <w:sz w:val="24"/>
          <w:szCs w:val="24"/>
          <w:lang w:eastAsia="en-US"/>
        </w:rPr>
      </w:pPr>
      <w:r>
        <w:rPr>
          <w:rFonts w:ascii="Garamond" w:hAnsi="Garamond" w:cs="Gisha"/>
          <w:sz w:val="24"/>
          <w:szCs w:val="24"/>
        </w:rPr>
        <w:tab/>
      </w:r>
      <w:r w:rsidR="009B478A">
        <w:rPr>
          <w:rFonts w:ascii="Garamond" w:eastAsia="Times New Roman" w:hAnsi="Garamond" w:cs="Times New Roman"/>
          <w:sz w:val="24"/>
          <w:szCs w:val="24"/>
          <w:lang w:eastAsia="en-US"/>
        </w:rPr>
        <w:t xml:space="preserve"> </w:t>
      </w:r>
      <w:r w:rsidR="00C85EDC" w:rsidRPr="00C94DEF">
        <w:rPr>
          <w:rFonts w:ascii="Garamond" w:eastAsia="Times New Roman" w:hAnsi="Garamond" w:cs="Times New Roman"/>
          <w:sz w:val="24"/>
          <w:szCs w:val="24"/>
          <w:lang w:eastAsia="en-US"/>
        </w:rPr>
        <w:t xml:space="preserve">What we want to know is the </w:t>
      </w:r>
      <w:r w:rsidR="00C85EDC" w:rsidRPr="00C94DEF">
        <w:rPr>
          <w:rFonts w:ascii="Garamond" w:eastAsia="Times New Roman" w:hAnsi="Garamond" w:cs="Times New Roman"/>
          <w:b/>
          <w:sz w:val="24"/>
          <w:szCs w:val="24"/>
          <w:lang w:eastAsia="en-US"/>
        </w:rPr>
        <w:t>size of the area over which a central power exercises a degree of control that allows for the appropriation of important resources (taxes and tribute).</w:t>
      </w:r>
      <w:r w:rsidR="00C85EDC" w:rsidRPr="00C94DEF">
        <w:rPr>
          <w:rFonts w:ascii="Garamond" w:eastAsia="Times New Roman" w:hAnsi="Garamond" w:cs="Times New Roman"/>
          <w:sz w:val="24"/>
          <w:szCs w:val="24"/>
          <w:lang w:eastAsia="en-US"/>
        </w:rPr>
        <w:t xml:space="preserve"> The ability to extract resources falls off with distance from the center in all polities, and controlling larger and larger territories requires the invention of new transportation, communications and organizational technologies [what Michael Mann (1986) has called “techniques of power”]. Military technologies and bureaucracies are important institutional inventions that make possible the extraction of resources over great distances, but so are new ideologies and new technologies of communication (Innis 1950).</w:t>
      </w:r>
    </w:p>
    <w:p w:rsidR="00C85EDC" w:rsidRPr="00C85EDC" w:rsidRDefault="009B478A" w:rsidP="00C85EDC">
      <w:pPr>
        <w:jc w:val="both"/>
        <w:rPr>
          <w:rFonts w:ascii="Garamond" w:eastAsia="Times New Roman" w:hAnsi="Garamond" w:cs="Times New Roman"/>
          <w:sz w:val="24"/>
          <w:szCs w:val="24"/>
          <w:lang w:eastAsia="en-US"/>
        </w:rPr>
      </w:pPr>
      <w:r>
        <w:rPr>
          <w:rFonts w:ascii="Garamond" w:eastAsia="Times New Roman" w:hAnsi="Garamond" w:cs="Times New Roman"/>
          <w:sz w:val="24"/>
          <w:szCs w:val="24"/>
          <w:lang w:eastAsia="en-US"/>
        </w:rPr>
        <w:tab/>
      </w:r>
      <w:r w:rsidR="00C85EDC" w:rsidRPr="00C85EDC">
        <w:rPr>
          <w:rFonts w:ascii="Garamond" w:eastAsia="Times New Roman" w:hAnsi="Garamond" w:cs="Times New Roman"/>
          <w:sz w:val="24"/>
          <w:szCs w:val="24"/>
          <w:lang w:eastAsia="en-US"/>
        </w:rPr>
        <w:t xml:space="preserve">Of course territorial size is only a rough </w:t>
      </w:r>
      <w:r w:rsidR="00304423">
        <w:rPr>
          <w:rFonts w:ascii="Garamond" w:eastAsia="Times New Roman" w:hAnsi="Garamond" w:cs="Times New Roman"/>
          <w:sz w:val="24"/>
          <w:szCs w:val="24"/>
          <w:lang w:eastAsia="en-US"/>
        </w:rPr>
        <w:t>indic</w:t>
      </w:r>
      <w:r w:rsidR="00C85EDC" w:rsidRPr="00C85EDC">
        <w:rPr>
          <w:rFonts w:ascii="Garamond" w:eastAsia="Times New Roman" w:hAnsi="Garamond" w:cs="Times New Roman"/>
          <w:sz w:val="24"/>
          <w:szCs w:val="24"/>
          <w:lang w:eastAsia="en-US"/>
        </w:rPr>
        <w:t xml:space="preserve">ator of the power of a polity because areas are not equally significant with regard to their ability to supply resources. A desert empire may be large but weak. But this rough </w:t>
      </w:r>
      <w:r w:rsidR="00304423">
        <w:rPr>
          <w:rFonts w:ascii="Garamond" w:eastAsia="Times New Roman" w:hAnsi="Garamond" w:cs="Times New Roman"/>
          <w:sz w:val="24"/>
          <w:szCs w:val="24"/>
          <w:lang w:eastAsia="en-US"/>
        </w:rPr>
        <w:t>indic</w:t>
      </w:r>
      <w:r w:rsidR="00C85EDC" w:rsidRPr="00C85EDC">
        <w:rPr>
          <w:rFonts w:ascii="Garamond" w:eastAsia="Times New Roman" w:hAnsi="Garamond" w:cs="Times New Roman"/>
          <w:sz w:val="24"/>
          <w:szCs w:val="24"/>
          <w:lang w:eastAsia="en-US"/>
        </w:rPr>
        <w:t xml:space="preserve">ator is quantitatively measureable in different world regions over long periods of time, so it is valuable for comparative historical research. </w:t>
      </w:r>
    </w:p>
    <w:p w:rsidR="00C85EDC" w:rsidRDefault="00C85EDC" w:rsidP="00C85EDC">
      <w:pPr>
        <w:jc w:val="both"/>
        <w:rPr>
          <w:rFonts w:ascii="Garamond" w:eastAsia="Times New Roman" w:hAnsi="Garamond" w:cs="Times New Roman"/>
          <w:sz w:val="24"/>
          <w:szCs w:val="24"/>
          <w:lang w:eastAsia="en-US"/>
        </w:rPr>
      </w:pPr>
      <w:r w:rsidRPr="00C85EDC">
        <w:rPr>
          <w:rFonts w:ascii="Garamond" w:eastAsia="Times New Roman" w:hAnsi="Garamond" w:cs="Times New Roman"/>
          <w:sz w:val="24"/>
          <w:szCs w:val="24"/>
          <w:lang w:eastAsia="en-US"/>
        </w:rPr>
        <w:tab/>
        <w:t xml:space="preserve">Estimating the territorial sizes of states and empires is </w:t>
      </w:r>
      <w:r w:rsidR="009B478A">
        <w:rPr>
          <w:rFonts w:ascii="Garamond" w:eastAsia="Times New Roman" w:hAnsi="Garamond" w:cs="Times New Roman"/>
          <w:sz w:val="24"/>
          <w:szCs w:val="24"/>
          <w:lang w:eastAsia="en-US"/>
        </w:rPr>
        <w:t xml:space="preserve">usually </w:t>
      </w:r>
      <w:r w:rsidRPr="00C85EDC">
        <w:rPr>
          <w:rFonts w:ascii="Garamond" w:eastAsia="Times New Roman" w:hAnsi="Garamond" w:cs="Times New Roman"/>
          <w:sz w:val="24"/>
          <w:szCs w:val="24"/>
          <w:lang w:eastAsia="en-US"/>
        </w:rPr>
        <w:t xml:space="preserve">based on the use of published historical atlases. For the ancient and classical worlds these are based primarily on </w:t>
      </w:r>
      <w:r w:rsidR="009B478A">
        <w:rPr>
          <w:rFonts w:ascii="Garamond" w:eastAsia="Times New Roman" w:hAnsi="Garamond" w:cs="Times New Roman"/>
          <w:sz w:val="24"/>
          <w:szCs w:val="24"/>
          <w:lang w:eastAsia="en-US"/>
        </w:rPr>
        <w:t>documentary evidence</w:t>
      </w:r>
      <w:r w:rsidRPr="00C85EDC">
        <w:rPr>
          <w:rFonts w:ascii="Garamond" w:eastAsia="Times New Roman" w:hAnsi="Garamond" w:cs="Times New Roman"/>
          <w:sz w:val="24"/>
          <w:szCs w:val="24"/>
          <w:lang w:eastAsia="en-US"/>
        </w:rPr>
        <w:t xml:space="preserve"> about who conquered which city, and whether or not and for how long tribute was paid to the conquering polity.</w:t>
      </w:r>
      <w:r w:rsidR="00DA0FE7">
        <w:rPr>
          <w:rStyle w:val="FootnoteReference"/>
          <w:rFonts w:ascii="Garamond" w:eastAsia="Times New Roman" w:hAnsi="Garamond" w:cs="Times New Roman"/>
          <w:sz w:val="24"/>
          <w:szCs w:val="24"/>
          <w:lang w:eastAsia="en-US"/>
        </w:rPr>
        <w:footnoteReference w:id="13"/>
      </w:r>
      <w:r w:rsidRPr="00C85EDC">
        <w:rPr>
          <w:rFonts w:ascii="Garamond" w:eastAsia="Times New Roman" w:hAnsi="Garamond" w:cs="Times New Roman"/>
          <w:sz w:val="24"/>
          <w:szCs w:val="24"/>
          <w:lang w:eastAsia="en-US"/>
        </w:rPr>
        <w:t xml:space="preserve"> Sometimes it is difficult to tell whether or not tribute is asymmetrical or symmetrical exchange. Only asymmetrical (unequal) exchange signifies a tributary imperial relationship. Otherwise it is just trade and does not signify an extractive relationship</w:t>
      </w:r>
      <w:r w:rsidR="009B478A">
        <w:rPr>
          <w:rFonts w:ascii="Garamond" w:eastAsia="Times New Roman" w:hAnsi="Garamond" w:cs="Times New Roman"/>
          <w:sz w:val="24"/>
          <w:szCs w:val="24"/>
          <w:lang w:eastAsia="en-US"/>
        </w:rPr>
        <w:t>.</w:t>
      </w:r>
    </w:p>
    <w:p w:rsidR="00C85EDC" w:rsidRPr="00C85EDC" w:rsidRDefault="009B478A" w:rsidP="00DA0FE7">
      <w:pPr>
        <w:jc w:val="both"/>
        <w:rPr>
          <w:rFonts w:ascii="Garamond" w:eastAsia="Times New Roman" w:hAnsi="Garamond" w:cs="Times New Roman"/>
          <w:sz w:val="24"/>
          <w:szCs w:val="24"/>
          <w:lang w:eastAsia="en-US"/>
        </w:rPr>
      </w:pPr>
      <w:r>
        <w:rPr>
          <w:rFonts w:ascii="Garamond" w:eastAsia="Times New Roman" w:hAnsi="Garamond" w:cs="Times New Roman"/>
          <w:sz w:val="24"/>
          <w:szCs w:val="24"/>
          <w:lang w:eastAsia="en-US"/>
        </w:rPr>
        <w:tab/>
      </w:r>
      <w:r w:rsidR="00C85EDC" w:rsidRPr="00C85EDC">
        <w:rPr>
          <w:rFonts w:ascii="Garamond" w:eastAsia="Times New Roman" w:hAnsi="Garamond" w:cs="Times New Roman"/>
          <w:sz w:val="24"/>
          <w:szCs w:val="24"/>
          <w:lang w:eastAsia="en-US"/>
        </w:rPr>
        <w:t xml:space="preserve">Most of the large ancient and classical empires involved the conquest of territory that that was contiguous with the home territory. But once naval power was taken up by tributary states an empire could conquer and dominate a client state that was far from its home territory, such as Rome’s control of areas on the south shore of the Mediterranean Sea. If these distant non-contiguous tribute-payers were small in number and size, not including them in the estimates of the territorial sizes of empires would not constitute a large error. But, as capitalism moved from the semiperiphery to the core, capitalist nation-states increasingly adopted the </w:t>
      </w:r>
      <w:proofErr w:type="spellStart"/>
      <w:r w:rsidR="00C85EDC" w:rsidRPr="00C85EDC">
        <w:rPr>
          <w:rFonts w:ascii="Garamond" w:eastAsia="Times New Roman" w:hAnsi="Garamond" w:cs="Times New Roman"/>
          <w:sz w:val="24"/>
          <w:szCs w:val="24"/>
          <w:lang w:eastAsia="en-US"/>
        </w:rPr>
        <w:t>thallassocratic</w:t>
      </w:r>
      <w:proofErr w:type="spellEnd"/>
      <w:r w:rsidR="00C85EDC" w:rsidRPr="00C85EDC">
        <w:rPr>
          <w:rFonts w:ascii="Garamond" w:eastAsia="Times New Roman" w:hAnsi="Garamond" w:cs="Times New Roman"/>
          <w:sz w:val="24"/>
          <w:szCs w:val="24"/>
          <w:lang w:eastAsia="en-US"/>
        </w:rPr>
        <w:t xml:space="preserve"> form of empire that had been pioneered by semiperipheral capitalist city-states</w:t>
      </w:r>
      <w:r w:rsidR="00C85EDC" w:rsidRPr="00C94DEF">
        <w:rPr>
          <w:rFonts w:ascii="Garamond" w:eastAsia="Times New Roman" w:hAnsi="Garamond" w:cs="Times New Roman"/>
          <w:sz w:val="24"/>
          <w:szCs w:val="24"/>
          <w:vertAlign w:val="superscript"/>
          <w:lang w:eastAsia="en-US"/>
        </w:rPr>
        <w:footnoteReference w:id="14"/>
      </w:r>
      <w:r w:rsidR="00C85EDC" w:rsidRPr="00C85EDC">
        <w:rPr>
          <w:rFonts w:ascii="Garamond" w:eastAsia="Times New Roman" w:hAnsi="Garamond" w:cs="Times New Roman"/>
          <w:sz w:val="24"/>
          <w:szCs w:val="24"/>
          <w:lang w:eastAsia="en-US"/>
        </w:rPr>
        <w:t xml:space="preserve">—control over distant overseas colonies. The modern colonial empires (British, French, etc.) require estimating the territorial sizes of colonies that are spread across the seas. The increasing institutionalization of the territorial boundaries of states makes this much easier than it was in the ancient and classical worlds in which polity boundaries were often quite fuzzy. </w:t>
      </w:r>
    </w:p>
    <w:p w:rsidR="00C85EDC" w:rsidRPr="00C85EDC" w:rsidRDefault="00C85EDC" w:rsidP="00C56C3C">
      <w:pPr>
        <w:ind w:firstLine="720"/>
        <w:jc w:val="both"/>
        <w:rPr>
          <w:rFonts w:ascii="Garamond" w:eastAsia="Times New Roman" w:hAnsi="Garamond" w:cs="Times New Roman"/>
          <w:sz w:val="24"/>
          <w:szCs w:val="24"/>
          <w:lang w:eastAsia="en-US"/>
        </w:rPr>
      </w:pPr>
      <w:r w:rsidRPr="00C85EDC">
        <w:rPr>
          <w:rFonts w:ascii="Garamond" w:eastAsia="Times New Roman" w:hAnsi="Garamond" w:cs="Times New Roman"/>
          <w:sz w:val="24"/>
          <w:szCs w:val="24"/>
          <w:lang w:eastAsia="en-US"/>
        </w:rPr>
        <w:t xml:space="preserve">Not all maps in political atlases show the boundaries of territorial control. They may represent linguistic or religious groups or other distinctions that have little or nothing to do with state power. And maps may not have good time resolution. Our data on the territorial sizes of polities are mostly taken from the published articles of Rein </w:t>
      </w:r>
      <w:proofErr w:type="spellStart"/>
      <w:r w:rsidRPr="00C85EDC">
        <w:rPr>
          <w:rFonts w:ascii="Garamond" w:eastAsia="Times New Roman" w:hAnsi="Garamond" w:cs="Times New Roman"/>
          <w:sz w:val="24"/>
          <w:szCs w:val="24"/>
          <w:lang w:eastAsia="en-US"/>
        </w:rPr>
        <w:t>Taagepera</w:t>
      </w:r>
      <w:proofErr w:type="spellEnd"/>
      <w:r w:rsidRPr="00C85EDC">
        <w:rPr>
          <w:rFonts w:ascii="Garamond" w:eastAsia="Times New Roman" w:hAnsi="Garamond" w:cs="Times New Roman"/>
          <w:sz w:val="24"/>
          <w:szCs w:val="24"/>
          <w:lang w:eastAsia="en-US"/>
        </w:rPr>
        <w:t xml:space="preserve"> (1978a, 1978b, 1979, 1997), except that some estimates for South Asia have been added based on Schwartzberg (1992).</w:t>
      </w:r>
    </w:p>
    <w:p w:rsidR="0086024A" w:rsidRPr="00F019DD" w:rsidRDefault="00F45669" w:rsidP="00C85EDC">
      <w:pPr>
        <w:rPr>
          <w:rFonts w:ascii="Bookman Old Style" w:hAnsi="Bookman Old Style" w:cs="Gisha"/>
          <w:b/>
        </w:rPr>
      </w:pPr>
      <w:r w:rsidRPr="00F019DD">
        <w:rPr>
          <w:rFonts w:ascii="Bookman Old Style" w:hAnsi="Bookman Old Style" w:cs="Gisha"/>
          <w:b/>
        </w:rPr>
        <w:lastRenderedPageBreak/>
        <w:t>Power Configurations</w:t>
      </w:r>
    </w:p>
    <w:p w:rsidR="0091098B" w:rsidRDefault="00C56C3C" w:rsidP="00C85EDC">
      <w:pPr>
        <w:rPr>
          <w:rFonts w:ascii="Garamond" w:hAnsi="Garamond" w:cs="Courier New"/>
          <w:color w:val="000000"/>
          <w:sz w:val="24"/>
          <w:szCs w:val="24"/>
        </w:rPr>
      </w:pPr>
      <w:r>
        <w:rPr>
          <w:rFonts w:ascii="Bookman Old Style" w:hAnsi="Bookman Old Style" w:cs="Gisha"/>
        </w:rPr>
        <w:tab/>
      </w:r>
      <w:r w:rsidR="007C4A5E" w:rsidRPr="007C4A5E">
        <w:rPr>
          <w:rFonts w:ascii="Garamond" w:hAnsi="Garamond" w:cs="Courier New"/>
          <w:color w:val="000000"/>
          <w:sz w:val="24"/>
          <w:szCs w:val="24"/>
        </w:rPr>
        <w:t xml:space="preserve">David Wilkinson (1996, 1999a, 2001, 2004a, 2004b, 2006) has coded the power configurations of interstate systems by reading the histories of battles and diplomacy. His coding scheme is based on seven polarity categories: 0. </w:t>
      </w:r>
      <w:proofErr w:type="spellStart"/>
      <w:r w:rsidR="007C4A5E" w:rsidRPr="007C4A5E">
        <w:rPr>
          <w:rFonts w:ascii="Garamond" w:hAnsi="Garamond" w:cs="Courier New"/>
          <w:color w:val="000000"/>
          <w:sz w:val="24"/>
          <w:szCs w:val="24"/>
        </w:rPr>
        <w:t>Nonpolarity</w:t>
      </w:r>
      <w:proofErr w:type="spellEnd"/>
      <w:r w:rsidR="007C4A5E" w:rsidRPr="007C4A5E">
        <w:rPr>
          <w:rFonts w:ascii="Garamond" w:hAnsi="Garamond" w:cs="Courier New"/>
          <w:color w:val="000000"/>
          <w:sz w:val="24"/>
          <w:szCs w:val="24"/>
        </w:rPr>
        <w:t xml:space="preserve"> 1. </w:t>
      </w:r>
      <w:proofErr w:type="spellStart"/>
      <w:r w:rsidR="007C4A5E" w:rsidRPr="007C4A5E">
        <w:rPr>
          <w:rFonts w:ascii="Garamond" w:hAnsi="Garamond" w:cs="Courier New"/>
          <w:color w:val="000000"/>
          <w:sz w:val="24"/>
          <w:szCs w:val="24"/>
        </w:rPr>
        <w:t>Multipolarity</w:t>
      </w:r>
      <w:proofErr w:type="spellEnd"/>
      <w:r w:rsidR="007C4A5E" w:rsidRPr="007C4A5E">
        <w:rPr>
          <w:rFonts w:ascii="Garamond" w:hAnsi="Garamond" w:cs="Courier New"/>
          <w:color w:val="000000"/>
          <w:sz w:val="24"/>
          <w:szCs w:val="24"/>
        </w:rPr>
        <w:t xml:space="preserve"> 2. </w:t>
      </w:r>
      <w:proofErr w:type="spellStart"/>
      <w:r w:rsidR="007C4A5E" w:rsidRPr="007C4A5E">
        <w:rPr>
          <w:rFonts w:ascii="Garamond" w:hAnsi="Garamond" w:cs="Courier New"/>
          <w:color w:val="000000"/>
          <w:sz w:val="24"/>
          <w:szCs w:val="24"/>
        </w:rPr>
        <w:t>Tripolarity</w:t>
      </w:r>
      <w:proofErr w:type="spellEnd"/>
      <w:r w:rsidR="007C4A5E" w:rsidRPr="007C4A5E">
        <w:rPr>
          <w:rFonts w:ascii="Garamond" w:hAnsi="Garamond" w:cs="Courier New"/>
          <w:color w:val="000000"/>
          <w:sz w:val="24"/>
          <w:szCs w:val="24"/>
        </w:rPr>
        <w:t xml:space="preserve"> 3. Bipolarity 4. </w:t>
      </w:r>
      <w:proofErr w:type="spellStart"/>
      <w:r w:rsidR="007C4A5E" w:rsidRPr="007C4A5E">
        <w:rPr>
          <w:rFonts w:ascii="Garamond" w:hAnsi="Garamond" w:cs="Courier New"/>
          <w:color w:val="000000"/>
          <w:sz w:val="24"/>
          <w:szCs w:val="24"/>
        </w:rPr>
        <w:t>Unipolarity</w:t>
      </w:r>
      <w:proofErr w:type="spellEnd"/>
      <w:r w:rsidR="007C4A5E" w:rsidRPr="007C4A5E">
        <w:rPr>
          <w:rFonts w:ascii="Garamond" w:hAnsi="Garamond" w:cs="Courier New"/>
          <w:color w:val="000000"/>
          <w:sz w:val="24"/>
          <w:szCs w:val="24"/>
        </w:rPr>
        <w:t xml:space="preserve"> (Non-hegemonic) 5. Hegemony 6. Empire. These vary in terms of how unequal is the distribution of power among states in an interacting network of warfare and diplomacy based on Wilkinson’s judgments of the relative power of the states in each system.  Wilkinson sees these categorical polarities as somewhat unique configurations, but it is also possible to use his categories as rough continuum that varies from very decentralized </w:t>
      </w:r>
      <w:proofErr w:type="spellStart"/>
      <w:r w:rsidR="007C4A5E" w:rsidRPr="007C4A5E">
        <w:rPr>
          <w:rFonts w:ascii="Garamond" w:hAnsi="Garamond" w:cs="Courier New"/>
          <w:color w:val="000000"/>
          <w:sz w:val="24"/>
          <w:szCs w:val="24"/>
        </w:rPr>
        <w:t>nonpolarity</w:t>
      </w:r>
      <w:proofErr w:type="spellEnd"/>
      <w:r w:rsidR="007C4A5E" w:rsidRPr="007C4A5E">
        <w:rPr>
          <w:rFonts w:ascii="Garamond" w:hAnsi="Garamond" w:cs="Courier New"/>
          <w:color w:val="000000"/>
          <w:sz w:val="24"/>
          <w:szCs w:val="24"/>
        </w:rPr>
        <w:t xml:space="preserve"> to a very centralized situation of either hegemony or empire. It should be noted that Wilkinson’s conception of hegemony (1994, 1999b, 2008) requires that the hegemon has the power to enforce its wishes upon the other states of the system.</w:t>
      </w:r>
      <w:r w:rsidR="007C4A5E" w:rsidRPr="007C4A5E">
        <w:rPr>
          <w:rFonts w:ascii="Garamond" w:hAnsi="Garamond" w:cs="Courier New"/>
          <w:color w:val="000000"/>
          <w:sz w:val="24"/>
          <w:szCs w:val="24"/>
        </w:rPr>
        <w:br/>
        <w:t>        We should note here that there is a logical overlap between Wilkinson’s power configuration variable and our measure of the territorial size of the largest state in an interstate system.  The size of the largest state is an important component of power configuration, but it does not include any information about the sizes of the other states.  We expect that power configuration and largest territorial state will be positively related, but our research will show how large the positive relationship is and will show when and where these two variables diverge.</w:t>
      </w:r>
      <w:r w:rsidR="007C4A5E" w:rsidRPr="007C4A5E">
        <w:rPr>
          <w:rFonts w:ascii="Garamond" w:hAnsi="Garamond" w:cs="Courier New"/>
          <w:color w:val="000000"/>
          <w:sz w:val="24"/>
          <w:szCs w:val="24"/>
        </w:rPr>
        <w:br/>
        <w:t>        It should also be noted that Wilkinson coded power configuration every 10 or 25 years.</w:t>
      </w:r>
      <w:r w:rsidR="007C4A5E" w:rsidRPr="007C4A5E">
        <w:rPr>
          <w:rStyle w:val="FootnoteReference"/>
          <w:rFonts w:ascii="Garamond" w:hAnsi="Garamond"/>
          <w:sz w:val="24"/>
          <w:szCs w:val="24"/>
        </w:rPr>
        <w:t xml:space="preserve"> </w:t>
      </w:r>
      <w:r w:rsidR="007C4A5E" w:rsidRPr="007C4A5E">
        <w:rPr>
          <w:rStyle w:val="FootnoteReference"/>
          <w:rFonts w:ascii="Garamond" w:hAnsi="Garamond"/>
          <w:sz w:val="24"/>
          <w:szCs w:val="24"/>
        </w:rPr>
        <w:footnoteReference w:id="15"/>
      </w:r>
      <w:r w:rsidR="007C4A5E" w:rsidRPr="007C4A5E">
        <w:rPr>
          <w:rFonts w:ascii="Garamond" w:hAnsi="Garamond"/>
          <w:sz w:val="24"/>
          <w:szCs w:val="24"/>
        </w:rPr>
        <w:t xml:space="preserve"> </w:t>
      </w:r>
      <w:r w:rsidR="007C4A5E" w:rsidRPr="007C4A5E">
        <w:rPr>
          <w:rFonts w:ascii="Garamond" w:hAnsi="Garamond" w:cs="Courier New"/>
          <w:color w:val="000000"/>
          <w:sz w:val="24"/>
          <w:szCs w:val="24"/>
        </w:rPr>
        <w:t xml:space="preserve"> We used those of his </w:t>
      </w:r>
      <w:proofErr w:type="spellStart"/>
      <w:r w:rsidR="007C4A5E" w:rsidRPr="007C4A5E">
        <w:rPr>
          <w:rFonts w:ascii="Garamond" w:hAnsi="Garamond" w:cs="Courier New"/>
          <w:color w:val="000000"/>
          <w:sz w:val="24"/>
          <w:szCs w:val="24"/>
        </w:rPr>
        <w:t>codings</w:t>
      </w:r>
      <w:proofErr w:type="spellEnd"/>
      <w:r w:rsidR="007C4A5E" w:rsidRPr="007C4A5E">
        <w:rPr>
          <w:rFonts w:ascii="Garamond" w:hAnsi="Garamond" w:cs="Courier New"/>
          <w:color w:val="000000"/>
          <w:sz w:val="24"/>
          <w:szCs w:val="24"/>
        </w:rPr>
        <w:t xml:space="preserve"> that corresponded with the fifty-year </w:t>
      </w:r>
      <w:r w:rsidR="00F1565D">
        <w:rPr>
          <w:rFonts w:ascii="Garamond" w:hAnsi="Garamond" w:cs="Courier New"/>
          <w:color w:val="000000"/>
          <w:sz w:val="24"/>
          <w:szCs w:val="24"/>
        </w:rPr>
        <w:t xml:space="preserve"> or</w:t>
      </w:r>
      <w:r w:rsidR="0060744A">
        <w:rPr>
          <w:rFonts w:ascii="Garamond" w:hAnsi="Garamond" w:cs="Courier New"/>
          <w:color w:val="000000"/>
          <w:sz w:val="24"/>
          <w:szCs w:val="24"/>
        </w:rPr>
        <w:t xml:space="preserve"> 100-year </w:t>
      </w:r>
      <w:r w:rsidR="007C4A5E" w:rsidRPr="007C4A5E">
        <w:rPr>
          <w:rFonts w:ascii="Garamond" w:hAnsi="Garamond" w:cs="Courier New"/>
          <w:color w:val="000000"/>
          <w:sz w:val="24"/>
          <w:szCs w:val="24"/>
        </w:rPr>
        <w:t>time points at which we have estimates of largest city population sizes and the territorial sizes of largest empires.</w:t>
      </w:r>
    </w:p>
    <w:p w:rsidR="00E57BA0" w:rsidRDefault="00A75736" w:rsidP="00306E97">
      <w:pPr>
        <w:rPr>
          <w:rFonts w:ascii="Bookman Old Style" w:hAnsi="Bookman Old Style" w:cs="Gisha"/>
          <w:b/>
          <w:sz w:val="24"/>
          <w:szCs w:val="24"/>
        </w:rPr>
      </w:pPr>
      <w:r w:rsidRPr="00F019DD">
        <w:rPr>
          <w:rFonts w:ascii="Bookman Old Style" w:hAnsi="Bookman Old Style" w:cs="Gisha"/>
          <w:b/>
          <w:sz w:val="24"/>
          <w:szCs w:val="24"/>
        </w:rPr>
        <w:t xml:space="preserve">Bivariate Correlations: Cities, States and Power </w:t>
      </w:r>
      <w:r w:rsidR="006501BB">
        <w:rPr>
          <w:rFonts w:ascii="Bookman Old Style" w:hAnsi="Bookman Old Style" w:cs="Gisha"/>
          <w:b/>
          <w:sz w:val="24"/>
          <w:szCs w:val="24"/>
        </w:rPr>
        <w:t>Configuration</w:t>
      </w:r>
    </w:p>
    <w:tbl>
      <w:tblPr>
        <w:tblStyle w:val="LightList-Accent2"/>
        <w:tblW w:w="10800" w:type="dxa"/>
        <w:tblLayout w:type="fixed"/>
        <w:tblLook w:val="04A0" w:firstRow="1" w:lastRow="0" w:firstColumn="1" w:lastColumn="0" w:noHBand="0" w:noVBand="1"/>
      </w:tblPr>
      <w:tblGrid>
        <w:gridCol w:w="1458"/>
        <w:gridCol w:w="1800"/>
        <w:gridCol w:w="900"/>
        <w:gridCol w:w="270"/>
        <w:gridCol w:w="1170"/>
        <w:gridCol w:w="180"/>
        <w:gridCol w:w="1440"/>
        <w:gridCol w:w="180"/>
        <w:gridCol w:w="834"/>
        <w:gridCol w:w="606"/>
        <w:gridCol w:w="1440"/>
        <w:gridCol w:w="522"/>
      </w:tblGrid>
      <w:tr w:rsidR="00BE03E7" w:rsidRPr="00AC3C0D" w:rsidTr="00F063F2">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58" w:type="dxa"/>
          </w:tcPr>
          <w:p w:rsidR="00077589" w:rsidRPr="00AC3C0D" w:rsidRDefault="00077589" w:rsidP="00BE03E7">
            <w:pPr>
              <w:spacing w:before="240"/>
              <w:jc w:val="center"/>
              <w:rPr>
                <w:rFonts w:ascii="Gisha" w:hAnsi="Gisha" w:cs="Gisha"/>
                <w:b w:val="0"/>
                <w:sz w:val="20"/>
                <w:szCs w:val="20"/>
              </w:rPr>
            </w:pPr>
            <w:r w:rsidRPr="00AC3C0D">
              <w:rPr>
                <w:rFonts w:ascii="Gisha" w:hAnsi="Gisha" w:cs="Gisha"/>
                <w:b w:val="0"/>
                <w:sz w:val="20"/>
                <w:szCs w:val="20"/>
              </w:rPr>
              <w:t>PMN</w:t>
            </w:r>
          </w:p>
        </w:tc>
        <w:tc>
          <w:tcPr>
            <w:tcW w:w="1800" w:type="dxa"/>
          </w:tcPr>
          <w:p w:rsidR="00077589" w:rsidRPr="00AC3C0D" w:rsidRDefault="00077589" w:rsidP="00BE03E7">
            <w:pPr>
              <w:spacing w:before="240"/>
              <w:jc w:val="cente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rPr>
            </w:pPr>
            <w:r w:rsidRPr="00AC3C0D">
              <w:rPr>
                <w:rFonts w:ascii="Gisha" w:hAnsi="Gisha" w:cs="Gisha"/>
                <w:b w:val="0"/>
                <w:sz w:val="20"/>
                <w:szCs w:val="20"/>
              </w:rPr>
              <w:t>Time period</w:t>
            </w:r>
          </w:p>
        </w:tc>
        <w:tc>
          <w:tcPr>
            <w:tcW w:w="1170" w:type="dxa"/>
            <w:gridSpan w:val="2"/>
          </w:tcPr>
          <w:p w:rsidR="00077589" w:rsidRPr="00AC3C0D" w:rsidRDefault="00077589" w:rsidP="00BE03E7">
            <w:pPr>
              <w:spacing w:before="240"/>
              <w:jc w:val="cente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rPr>
            </w:pPr>
            <w:r w:rsidRPr="00AC3C0D">
              <w:rPr>
                <w:rFonts w:ascii="Gisha" w:hAnsi="Gisha" w:cs="Gisha"/>
                <w:b w:val="0"/>
                <w:sz w:val="20"/>
                <w:szCs w:val="20"/>
              </w:rPr>
              <w:t>State/city</w:t>
            </w:r>
          </w:p>
        </w:tc>
        <w:tc>
          <w:tcPr>
            <w:tcW w:w="1350" w:type="dxa"/>
            <w:gridSpan w:val="2"/>
          </w:tcPr>
          <w:p w:rsidR="00077589" w:rsidRPr="00AC3C0D" w:rsidRDefault="00077589" w:rsidP="00BE03E7">
            <w:pPr>
              <w:spacing w:before="240"/>
              <w:jc w:val="cente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rPr>
            </w:pPr>
            <w:proofErr w:type="spellStart"/>
            <w:r w:rsidRPr="00AC3C0D">
              <w:rPr>
                <w:rFonts w:ascii="Gisha" w:hAnsi="Gisha" w:cs="Gisha"/>
                <w:b w:val="0"/>
                <w:sz w:val="20"/>
                <w:szCs w:val="20"/>
              </w:rPr>
              <w:t>Powcon</w:t>
            </w:r>
            <w:proofErr w:type="spellEnd"/>
            <w:r w:rsidRPr="00AC3C0D">
              <w:rPr>
                <w:rFonts w:ascii="Gisha" w:hAnsi="Gisha" w:cs="Gisha"/>
                <w:b w:val="0"/>
                <w:sz w:val="20"/>
                <w:szCs w:val="20"/>
              </w:rPr>
              <w:t>/city</w:t>
            </w:r>
          </w:p>
        </w:tc>
        <w:tc>
          <w:tcPr>
            <w:tcW w:w="1620" w:type="dxa"/>
            <w:gridSpan w:val="2"/>
          </w:tcPr>
          <w:p w:rsidR="00077589" w:rsidRPr="00AC3C0D" w:rsidRDefault="00077589" w:rsidP="00BE03E7">
            <w:pPr>
              <w:spacing w:before="240"/>
              <w:jc w:val="cente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rPr>
            </w:pPr>
            <w:proofErr w:type="spellStart"/>
            <w:r w:rsidRPr="00AC3C0D">
              <w:rPr>
                <w:rFonts w:ascii="Gisha" w:hAnsi="Gisha" w:cs="Gisha"/>
                <w:b w:val="0"/>
                <w:sz w:val="20"/>
                <w:szCs w:val="20"/>
              </w:rPr>
              <w:t>Powcon</w:t>
            </w:r>
            <w:proofErr w:type="spellEnd"/>
            <w:r w:rsidRPr="00AC3C0D">
              <w:rPr>
                <w:rFonts w:ascii="Gisha" w:hAnsi="Gisha" w:cs="Gisha"/>
                <w:b w:val="0"/>
                <w:sz w:val="20"/>
                <w:szCs w:val="20"/>
              </w:rPr>
              <w:t>/state</w:t>
            </w:r>
          </w:p>
        </w:tc>
        <w:tc>
          <w:tcPr>
            <w:tcW w:w="1440" w:type="dxa"/>
            <w:gridSpan w:val="2"/>
          </w:tcPr>
          <w:p w:rsidR="00077589" w:rsidRPr="00AC3C0D" w:rsidRDefault="00077589" w:rsidP="00BE03E7">
            <w:pPr>
              <w:spacing w:before="240"/>
              <w:jc w:val="cente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rPr>
            </w:pPr>
            <w:r w:rsidRPr="00AC3C0D">
              <w:rPr>
                <w:rFonts w:ascii="Gisha" w:hAnsi="Gisha" w:cs="Gisha"/>
                <w:b w:val="0"/>
                <w:sz w:val="20"/>
                <w:szCs w:val="20"/>
              </w:rPr>
              <w:t>Year/city</w:t>
            </w:r>
          </w:p>
        </w:tc>
        <w:tc>
          <w:tcPr>
            <w:tcW w:w="1440" w:type="dxa"/>
          </w:tcPr>
          <w:p w:rsidR="00077589" w:rsidRPr="00AC3C0D" w:rsidRDefault="00077589" w:rsidP="00BE03E7">
            <w:pPr>
              <w:spacing w:before="240"/>
              <w:jc w:val="cente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rPr>
            </w:pPr>
            <w:r w:rsidRPr="00AC3C0D">
              <w:rPr>
                <w:rFonts w:ascii="Gisha" w:hAnsi="Gisha" w:cs="Gisha"/>
                <w:b w:val="0"/>
                <w:sz w:val="20"/>
                <w:szCs w:val="20"/>
              </w:rPr>
              <w:t>Year/state</w:t>
            </w:r>
          </w:p>
        </w:tc>
        <w:tc>
          <w:tcPr>
            <w:tcW w:w="522" w:type="dxa"/>
          </w:tcPr>
          <w:p w:rsidR="00077589" w:rsidRPr="00AC3C0D" w:rsidRDefault="00077589" w:rsidP="00BE03E7">
            <w:pPr>
              <w:spacing w:before="240"/>
              <w:jc w:val="center"/>
              <w:cnfStyle w:val="100000000000" w:firstRow="1" w:lastRow="0" w:firstColumn="0" w:lastColumn="0" w:oddVBand="0" w:evenVBand="0" w:oddHBand="0" w:evenHBand="0" w:firstRowFirstColumn="0" w:firstRowLastColumn="0" w:lastRowFirstColumn="0" w:lastRowLastColumn="0"/>
              <w:rPr>
                <w:rFonts w:ascii="Gisha" w:hAnsi="Gisha" w:cs="Gisha"/>
                <w:b w:val="0"/>
                <w:sz w:val="20"/>
                <w:szCs w:val="20"/>
              </w:rPr>
            </w:pPr>
            <w:r>
              <w:rPr>
                <w:rFonts w:ascii="Gisha" w:hAnsi="Gisha" w:cs="Gisha"/>
                <w:b w:val="0"/>
                <w:sz w:val="20"/>
                <w:szCs w:val="20"/>
              </w:rPr>
              <w:t>N</w:t>
            </w:r>
          </w:p>
        </w:tc>
      </w:tr>
      <w:tr w:rsidR="00077589" w:rsidRPr="00AC3C0D" w:rsidTr="00BE03E7">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458" w:type="dxa"/>
          </w:tcPr>
          <w:p w:rsidR="00077589" w:rsidRPr="00F1565D" w:rsidRDefault="00077589" w:rsidP="003548C8">
            <w:pPr>
              <w:spacing w:before="240"/>
              <w:jc w:val="center"/>
              <w:rPr>
                <w:rFonts w:ascii="Gisha" w:hAnsi="Gisha" w:cs="Gisha"/>
                <w:sz w:val="20"/>
                <w:szCs w:val="20"/>
                <w:highlight w:val="lightGray"/>
              </w:rPr>
            </w:pPr>
            <w:r w:rsidRPr="00F1565D">
              <w:rPr>
                <w:rFonts w:ascii="Gisha" w:hAnsi="Gisha" w:cs="Gisha"/>
                <w:sz w:val="20"/>
                <w:szCs w:val="20"/>
                <w:highlight w:val="lightGray"/>
              </w:rPr>
              <w:t>Mesopotamia</w:t>
            </w:r>
          </w:p>
        </w:tc>
        <w:tc>
          <w:tcPr>
            <w:tcW w:w="1800" w:type="dxa"/>
          </w:tcPr>
          <w:p w:rsidR="00077589" w:rsidRPr="00F1565D" w:rsidRDefault="00077589" w:rsidP="003548C8">
            <w:pPr>
              <w:spacing w:before="240"/>
              <w:cnfStyle w:val="000000100000" w:firstRow="0" w:lastRow="0" w:firstColumn="0" w:lastColumn="0" w:oddVBand="0" w:evenVBand="0" w:oddHBand="1"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 xml:space="preserve">2700 -1500 </w:t>
            </w:r>
            <w:proofErr w:type="spellStart"/>
            <w:r w:rsidRPr="00F1565D">
              <w:rPr>
                <w:rFonts w:ascii="Gisha" w:hAnsi="Gisha" w:cs="Gisha"/>
                <w:sz w:val="20"/>
                <w:szCs w:val="20"/>
                <w:highlight w:val="lightGray"/>
              </w:rPr>
              <w:t>bce</w:t>
            </w:r>
            <w:proofErr w:type="spellEnd"/>
          </w:p>
        </w:tc>
        <w:tc>
          <w:tcPr>
            <w:tcW w:w="900" w:type="dxa"/>
          </w:tcPr>
          <w:p w:rsidR="00077589" w:rsidRPr="00F1565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-.05</w:t>
            </w:r>
          </w:p>
        </w:tc>
        <w:tc>
          <w:tcPr>
            <w:tcW w:w="1440" w:type="dxa"/>
            <w:gridSpan w:val="2"/>
          </w:tcPr>
          <w:p w:rsidR="00077589" w:rsidRPr="00F1565D" w:rsidRDefault="00077589" w:rsidP="00AC3C0D">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.26</w:t>
            </w:r>
          </w:p>
        </w:tc>
        <w:tc>
          <w:tcPr>
            <w:tcW w:w="1620" w:type="dxa"/>
            <w:gridSpan w:val="2"/>
          </w:tcPr>
          <w:p w:rsidR="00077589" w:rsidRPr="00F1565D" w:rsidRDefault="00077589" w:rsidP="00AC3C0D">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.17</w:t>
            </w:r>
          </w:p>
        </w:tc>
        <w:tc>
          <w:tcPr>
            <w:tcW w:w="1014" w:type="dxa"/>
            <w:gridSpan w:val="2"/>
          </w:tcPr>
          <w:p w:rsidR="00077589" w:rsidRPr="00F1565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-.74**</w:t>
            </w:r>
          </w:p>
        </w:tc>
        <w:tc>
          <w:tcPr>
            <w:tcW w:w="2046" w:type="dxa"/>
            <w:gridSpan w:val="2"/>
          </w:tcPr>
          <w:p w:rsidR="00077589" w:rsidRPr="00F1565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.20</w:t>
            </w:r>
          </w:p>
        </w:tc>
        <w:tc>
          <w:tcPr>
            <w:tcW w:w="522" w:type="dxa"/>
          </w:tcPr>
          <w:p w:rsidR="00077589" w:rsidRPr="00F1565D" w:rsidRDefault="00077589" w:rsidP="00077589">
            <w:pPr>
              <w:spacing w:before="240"/>
              <w:cnfStyle w:val="000000100000" w:firstRow="0" w:lastRow="0" w:firstColumn="0" w:lastColumn="0" w:oddVBand="0" w:evenVBand="0" w:oddHBand="1"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13</w:t>
            </w:r>
          </w:p>
        </w:tc>
      </w:tr>
      <w:tr w:rsidR="00077589" w:rsidRPr="00AC3C0D" w:rsidTr="00BE03E7">
        <w:trPr>
          <w:trHeight w:val="563"/>
        </w:trPr>
        <w:tc>
          <w:tcPr>
            <w:cnfStyle w:val="001000000000" w:firstRow="0" w:lastRow="0" w:firstColumn="1" w:lastColumn="0" w:oddVBand="0" w:evenVBand="0" w:oddHBand="0" w:evenHBand="0" w:firstRowFirstColumn="0" w:firstRowLastColumn="0" w:lastRowFirstColumn="0" w:lastRowLastColumn="0"/>
            <w:tcW w:w="1458" w:type="dxa"/>
          </w:tcPr>
          <w:p w:rsidR="00077589" w:rsidRPr="00F1565D" w:rsidRDefault="00077589" w:rsidP="003548C8">
            <w:pPr>
              <w:spacing w:before="240"/>
              <w:jc w:val="center"/>
              <w:rPr>
                <w:rFonts w:ascii="Gisha" w:hAnsi="Gisha" w:cs="Gisha"/>
                <w:sz w:val="20"/>
                <w:szCs w:val="20"/>
                <w:highlight w:val="lightGray"/>
              </w:rPr>
            </w:pPr>
            <w:r w:rsidRPr="00F1565D">
              <w:rPr>
                <w:rFonts w:ascii="Gisha" w:hAnsi="Gisha" w:cs="Gisha"/>
                <w:sz w:val="20"/>
                <w:szCs w:val="20"/>
                <w:highlight w:val="lightGray"/>
              </w:rPr>
              <w:t>Egypt</w:t>
            </w:r>
          </w:p>
        </w:tc>
        <w:tc>
          <w:tcPr>
            <w:tcW w:w="1800" w:type="dxa"/>
          </w:tcPr>
          <w:p w:rsidR="00077589" w:rsidRPr="00F1565D" w:rsidRDefault="00077589" w:rsidP="003548C8">
            <w:pPr>
              <w:spacing w:before="240"/>
              <w:cnfStyle w:val="000000000000" w:firstRow="0" w:lastRow="0" w:firstColumn="0" w:lastColumn="0" w:oddVBand="0" w:evenVBand="0" w:oddHBand="0"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 xml:space="preserve">2600 -1500 </w:t>
            </w:r>
            <w:proofErr w:type="spellStart"/>
            <w:r w:rsidRPr="00F1565D">
              <w:rPr>
                <w:rFonts w:ascii="Gisha" w:hAnsi="Gisha" w:cs="Gisha"/>
                <w:sz w:val="20"/>
                <w:szCs w:val="20"/>
                <w:highlight w:val="lightGray"/>
              </w:rPr>
              <w:t>bce</w:t>
            </w:r>
            <w:proofErr w:type="spellEnd"/>
          </w:p>
        </w:tc>
        <w:tc>
          <w:tcPr>
            <w:tcW w:w="900" w:type="dxa"/>
          </w:tcPr>
          <w:p w:rsidR="00077589" w:rsidRPr="00F1565D" w:rsidRDefault="00077589" w:rsidP="003548C8">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.51</w:t>
            </w:r>
          </w:p>
        </w:tc>
        <w:tc>
          <w:tcPr>
            <w:tcW w:w="1440" w:type="dxa"/>
            <w:gridSpan w:val="2"/>
          </w:tcPr>
          <w:p w:rsidR="00077589" w:rsidRPr="00F1565D" w:rsidRDefault="00077589" w:rsidP="003548C8">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-.67*</w:t>
            </w:r>
          </w:p>
        </w:tc>
        <w:tc>
          <w:tcPr>
            <w:tcW w:w="1620" w:type="dxa"/>
            <w:gridSpan w:val="2"/>
          </w:tcPr>
          <w:p w:rsidR="00077589" w:rsidRPr="00F1565D" w:rsidRDefault="00077589" w:rsidP="00077589">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-.02</w:t>
            </w:r>
          </w:p>
        </w:tc>
        <w:tc>
          <w:tcPr>
            <w:tcW w:w="1014" w:type="dxa"/>
            <w:gridSpan w:val="2"/>
          </w:tcPr>
          <w:p w:rsidR="00077589" w:rsidRPr="00F1565D" w:rsidRDefault="00077589" w:rsidP="00077589">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.60*</w:t>
            </w:r>
          </w:p>
        </w:tc>
        <w:tc>
          <w:tcPr>
            <w:tcW w:w="2046" w:type="dxa"/>
            <w:gridSpan w:val="2"/>
          </w:tcPr>
          <w:p w:rsidR="00077589" w:rsidRPr="00F1565D" w:rsidRDefault="00077589" w:rsidP="00077589">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.45</w:t>
            </w:r>
          </w:p>
        </w:tc>
        <w:tc>
          <w:tcPr>
            <w:tcW w:w="522" w:type="dxa"/>
          </w:tcPr>
          <w:p w:rsidR="00077589" w:rsidRPr="00F1565D" w:rsidRDefault="00077589" w:rsidP="00077589">
            <w:pPr>
              <w:spacing w:before="240"/>
              <w:cnfStyle w:val="000000000000" w:firstRow="0" w:lastRow="0" w:firstColumn="0" w:lastColumn="0" w:oddVBand="0" w:evenVBand="0" w:oddHBand="0" w:evenHBand="0" w:firstRowFirstColumn="0" w:firstRowLastColumn="0" w:lastRowFirstColumn="0" w:lastRowLastColumn="0"/>
              <w:rPr>
                <w:rFonts w:ascii="Gisha" w:hAnsi="Gisha" w:cs="Gisha"/>
                <w:sz w:val="20"/>
                <w:szCs w:val="20"/>
                <w:highlight w:val="lightGray"/>
              </w:rPr>
            </w:pPr>
            <w:r w:rsidRPr="00F1565D">
              <w:rPr>
                <w:rFonts w:ascii="Gisha" w:hAnsi="Gisha" w:cs="Gisha"/>
                <w:sz w:val="20"/>
                <w:szCs w:val="20"/>
                <w:highlight w:val="lightGray"/>
              </w:rPr>
              <w:t>12</w:t>
            </w:r>
          </w:p>
        </w:tc>
      </w:tr>
      <w:tr w:rsidR="00077589" w:rsidRPr="00AC3C0D" w:rsidTr="00BE03E7">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458" w:type="dxa"/>
          </w:tcPr>
          <w:p w:rsidR="00077589" w:rsidRPr="00AC3C0D" w:rsidRDefault="00077589" w:rsidP="003548C8">
            <w:pPr>
              <w:spacing w:before="240"/>
              <w:jc w:val="center"/>
              <w:rPr>
                <w:rFonts w:ascii="Gisha" w:hAnsi="Gisha" w:cs="Gisha"/>
                <w:sz w:val="20"/>
                <w:szCs w:val="20"/>
              </w:rPr>
            </w:pPr>
            <w:r w:rsidRPr="00AC3C0D">
              <w:rPr>
                <w:rFonts w:ascii="Gisha" w:hAnsi="Gisha" w:cs="Gisha"/>
                <w:sz w:val="20"/>
                <w:szCs w:val="20"/>
              </w:rPr>
              <w:t>South Asia</w:t>
            </w:r>
          </w:p>
        </w:tc>
        <w:tc>
          <w:tcPr>
            <w:tcW w:w="1800" w:type="dxa"/>
          </w:tcPr>
          <w:p w:rsidR="00077589" w:rsidRPr="00AC3C0D" w:rsidRDefault="00077589" w:rsidP="003548C8">
            <w:pPr>
              <w:spacing w:before="240"/>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C3C0D">
              <w:rPr>
                <w:rFonts w:ascii="Gisha" w:hAnsi="Gisha" w:cs="Gisha"/>
                <w:sz w:val="20"/>
                <w:szCs w:val="20"/>
              </w:rPr>
              <w:t xml:space="preserve">400 </w:t>
            </w:r>
            <w:proofErr w:type="spellStart"/>
            <w:r w:rsidRPr="00AC3C0D">
              <w:rPr>
                <w:rFonts w:ascii="Gisha" w:hAnsi="Gisha" w:cs="Gisha"/>
                <w:sz w:val="20"/>
                <w:szCs w:val="20"/>
              </w:rPr>
              <w:t>bce</w:t>
            </w:r>
            <w:proofErr w:type="spellEnd"/>
            <w:r>
              <w:rPr>
                <w:rFonts w:ascii="Gisha" w:hAnsi="Gisha" w:cs="Gisha"/>
                <w:sz w:val="20"/>
                <w:szCs w:val="20"/>
              </w:rPr>
              <w:t xml:space="preserve"> </w:t>
            </w:r>
            <w:r w:rsidR="00BE03E7">
              <w:rPr>
                <w:rFonts w:ascii="Gisha" w:hAnsi="Gisha" w:cs="Gisha"/>
                <w:sz w:val="20"/>
                <w:szCs w:val="20"/>
              </w:rPr>
              <w:t xml:space="preserve">– 1000 </w:t>
            </w:r>
            <w:proofErr w:type="spellStart"/>
            <w:r w:rsidRPr="00AC3C0D">
              <w:rPr>
                <w:rFonts w:ascii="Gisha" w:hAnsi="Gisha" w:cs="Gisha"/>
                <w:sz w:val="20"/>
                <w:szCs w:val="20"/>
              </w:rPr>
              <w:t>ce</w:t>
            </w:r>
            <w:proofErr w:type="spellEnd"/>
          </w:p>
        </w:tc>
        <w:tc>
          <w:tcPr>
            <w:tcW w:w="900" w:type="dxa"/>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.28</w:t>
            </w:r>
          </w:p>
        </w:tc>
        <w:tc>
          <w:tcPr>
            <w:tcW w:w="1440"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C3C0D">
              <w:rPr>
                <w:rFonts w:ascii="Gisha" w:hAnsi="Gisha" w:cs="Gisha"/>
                <w:sz w:val="20"/>
                <w:szCs w:val="20"/>
              </w:rPr>
              <w:t>.16</w:t>
            </w:r>
          </w:p>
        </w:tc>
        <w:tc>
          <w:tcPr>
            <w:tcW w:w="1620"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.27</w:t>
            </w:r>
          </w:p>
        </w:tc>
        <w:tc>
          <w:tcPr>
            <w:tcW w:w="1014"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C3C0D">
              <w:rPr>
                <w:rFonts w:ascii="Gisha" w:hAnsi="Gisha" w:cs="Gisha"/>
                <w:sz w:val="20"/>
                <w:szCs w:val="20"/>
              </w:rPr>
              <w:t>-.55</w:t>
            </w:r>
          </w:p>
        </w:tc>
        <w:tc>
          <w:tcPr>
            <w:tcW w:w="2046"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-.36</w:t>
            </w:r>
          </w:p>
        </w:tc>
        <w:tc>
          <w:tcPr>
            <w:tcW w:w="522" w:type="dxa"/>
          </w:tcPr>
          <w:p w:rsidR="00077589" w:rsidRPr="00AC3C0D" w:rsidRDefault="00077589" w:rsidP="00077589">
            <w:pPr>
              <w:spacing w:before="240"/>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29</w:t>
            </w:r>
          </w:p>
        </w:tc>
      </w:tr>
      <w:tr w:rsidR="00077589" w:rsidRPr="00AC3C0D" w:rsidTr="00BE03E7">
        <w:trPr>
          <w:trHeight w:val="753"/>
        </w:trPr>
        <w:tc>
          <w:tcPr>
            <w:cnfStyle w:val="001000000000" w:firstRow="0" w:lastRow="0" w:firstColumn="1" w:lastColumn="0" w:oddVBand="0" w:evenVBand="0" w:oddHBand="0" w:evenHBand="0" w:firstRowFirstColumn="0" w:firstRowLastColumn="0" w:lastRowFirstColumn="0" w:lastRowLastColumn="0"/>
            <w:tcW w:w="1458" w:type="dxa"/>
          </w:tcPr>
          <w:p w:rsidR="00077589" w:rsidRPr="00AC3C0D" w:rsidRDefault="00077589" w:rsidP="003548C8">
            <w:pPr>
              <w:spacing w:before="240"/>
              <w:jc w:val="center"/>
              <w:rPr>
                <w:rFonts w:ascii="Gisha" w:hAnsi="Gisha" w:cs="Gisha"/>
                <w:sz w:val="20"/>
                <w:szCs w:val="20"/>
              </w:rPr>
            </w:pPr>
            <w:r w:rsidRPr="00AC3C0D">
              <w:rPr>
                <w:rFonts w:ascii="Gisha" w:hAnsi="Gisha" w:cs="Gisha"/>
                <w:sz w:val="20"/>
                <w:szCs w:val="20"/>
              </w:rPr>
              <w:t>East Asia</w:t>
            </w:r>
          </w:p>
        </w:tc>
        <w:tc>
          <w:tcPr>
            <w:tcW w:w="1800" w:type="dxa"/>
          </w:tcPr>
          <w:p w:rsidR="00077589" w:rsidRPr="00F063F2" w:rsidRDefault="00077589" w:rsidP="003548C8">
            <w:pPr>
              <w:spacing w:before="240"/>
              <w:cnfStyle w:val="000000000000" w:firstRow="0" w:lastRow="0" w:firstColumn="0" w:lastColumn="0" w:oddVBand="0" w:evenVBand="0" w:oddHBand="0" w:evenHBand="0" w:firstRowFirstColumn="0" w:firstRowLastColumn="0" w:lastRowFirstColumn="0" w:lastRowLastColumn="0"/>
              <w:rPr>
                <w:rFonts w:ascii="Gisha" w:hAnsi="Gisha" w:cs="Gisha"/>
                <w:sz w:val="18"/>
                <w:szCs w:val="18"/>
              </w:rPr>
            </w:pPr>
            <w:r w:rsidRPr="00F063F2">
              <w:rPr>
                <w:rFonts w:ascii="Gisha" w:hAnsi="Gisha" w:cs="Gisha"/>
                <w:sz w:val="18"/>
                <w:szCs w:val="18"/>
              </w:rPr>
              <w:t xml:space="preserve">1000 </w:t>
            </w:r>
            <w:proofErr w:type="spellStart"/>
            <w:r w:rsidRPr="00F063F2">
              <w:rPr>
                <w:rFonts w:ascii="Gisha" w:hAnsi="Gisha" w:cs="Gisha"/>
                <w:sz w:val="18"/>
                <w:szCs w:val="18"/>
              </w:rPr>
              <w:t>bce</w:t>
            </w:r>
            <w:proofErr w:type="spellEnd"/>
            <w:r w:rsidRPr="00F063F2">
              <w:rPr>
                <w:rFonts w:ascii="Gisha" w:hAnsi="Gisha" w:cs="Gisha"/>
                <w:sz w:val="18"/>
                <w:szCs w:val="18"/>
              </w:rPr>
              <w:t xml:space="preserve"> - 1800 </w:t>
            </w:r>
            <w:proofErr w:type="spellStart"/>
            <w:r w:rsidRPr="00F063F2">
              <w:rPr>
                <w:rFonts w:ascii="Gisha" w:hAnsi="Gisha" w:cs="Gisha"/>
                <w:sz w:val="18"/>
                <w:szCs w:val="18"/>
              </w:rPr>
              <w:t>ce</w:t>
            </w:r>
            <w:proofErr w:type="spellEnd"/>
          </w:p>
        </w:tc>
        <w:tc>
          <w:tcPr>
            <w:tcW w:w="900" w:type="dxa"/>
          </w:tcPr>
          <w:p w:rsidR="00077589" w:rsidRPr="00AC3C0D" w:rsidRDefault="00077589" w:rsidP="003548C8">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.49</w:t>
            </w:r>
          </w:p>
        </w:tc>
        <w:tc>
          <w:tcPr>
            <w:tcW w:w="1440" w:type="dxa"/>
            <w:gridSpan w:val="2"/>
          </w:tcPr>
          <w:p w:rsidR="00077589" w:rsidRPr="00AC3C0D" w:rsidRDefault="00077589" w:rsidP="005525A7">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sidRPr="00AC3C0D">
              <w:rPr>
                <w:rFonts w:ascii="Gisha" w:hAnsi="Gisha" w:cs="Gisha"/>
                <w:sz w:val="20"/>
                <w:szCs w:val="20"/>
              </w:rPr>
              <w:t>.</w:t>
            </w:r>
            <w:r>
              <w:rPr>
                <w:rFonts w:ascii="Gisha" w:hAnsi="Gisha" w:cs="Gisha"/>
                <w:sz w:val="20"/>
                <w:szCs w:val="20"/>
              </w:rPr>
              <w:t>07</w:t>
            </w:r>
          </w:p>
        </w:tc>
        <w:tc>
          <w:tcPr>
            <w:tcW w:w="1620" w:type="dxa"/>
            <w:gridSpan w:val="2"/>
          </w:tcPr>
          <w:p w:rsidR="00077589" w:rsidRPr="00AC3C0D" w:rsidRDefault="00077589" w:rsidP="003548C8">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.43</w:t>
            </w:r>
          </w:p>
        </w:tc>
        <w:tc>
          <w:tcPr>
            <w:tcW w:w="1014" w:type="dxa"/>
            <w:gridSpan w:val="2"/>
          </w:tcPr>
          <w:p w:rsidR="00077589" w:rsidRPr="00AC3C0D" w:rsidRDefault="00077589" w:rsidP="003548C8">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.80</w:t>
            </w:r>
          </w:p>
        </w:tc>
        <w:tc>
          <w:tcPr>
            <w:tcW w:w="2046" w:type="dxa"/>
            <w:gridSpan w:val="2"/>
          </w:tcPr>
          <w:p w:rsidR="00077589" w:rsidRPr="00AC3C0D" w:rsidRDefault="00077589" w:rsidP="003548C8">
            <w:pPr>
              <w:spacing w:before="240"/>
              <w:jc w:val="center"/>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.59</w:t>
            </w:r>
          </w:p>
        </w:tc>
        <w:tc>
          <w:tcPr>
            <w:tcW w:w="522" w:type="dxa"/>
          </w:tcPr>
          <w:p w:rsidR="00077589" w:rsidRPr="00AC3C0D" w:rsidRDefault="00077589" w:rsidP="00077589">
            <w:pPr>
              <w:spacing w:before="240"/>
              <w:cnfStyle w:val="000000000000" w:firstRow="0" w:lastRow="0" w:firstColumn="0" w:lastColumn="0" w:oddVBand="0" w:evenVBand="0" w:oddHBand="0" w:evenHBand="0" w:firstRowFirstColumn="0" w:firstRowLastColumn="0" w:lastRowFirstColumn="0" w:lastRowLastColumn="0"/>
              <w:rPr>
                <w:rFonts w:ascii="Gisha" w:hAnsi="Gisha" w:cs="Gisha"/>
                <w:sz w:val="20"/>
                <w:szCs w:val="20"/>
              </w:rPr>
            </w:pPr>
            <w:r>
              <w:rPr>
                <w:rFonts w:ascii="Gisha" w:hAnsi="Gisha" w:cs="Gisha"/>
                <w:sz w:val="20"/>
                <w:szCs w:val="20"/>
              </w:rPr>
              <w:t>57</w:t>
            </w:r>
          </w:p>
        </w:tc>
      </w:tr>
      <w:tr w:rsidR="00077589" w:rsidRPr="00AC3C0D" w:rsidTr="00BE03E7">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458" w:type="dxa"/>
          </w:tcPr>
          <w:p w:rsidR="00077589" w:rsidRPr="00AC3C0D" w:rsidRDefault="00077589" w:rsidP="003548C8">
            <w:pPr>
              <w:spacing w:before="240"/>
              <w:jc w:val="center"/>
              <w:rPr>
                <w:rFonts w:ascii="Gisha" w:hAnsi="Gisha" w:cs="Gisha"/>
                <w:sz w:val="20"/>
                <w:szCs w:val="20"/>
              </w:rPr>
            </w:pPr>
            <w:r w:rsidRPr="00AC3C0D">
              <w:rPr>
                <w:rFonts w:ascii="Gisha" w:hAnsi="Gisha" w:cs="Gisha"/>
                <w:sz w:val="20"/>
                <w:szCs w:val="20"/>
              </w:rPr>
              <w:t>Central</w:t>
            </w:r>
          </w:p>
        </w:tc>
        <w:tc>
          <w:tcPr>
            <w:tcW w:w="1800" w:type="dxa"/>
          </w:tcPr>
          <w:p w:rsidR="00077589" w:rsidRPr="00F063F2" w:rsidRDefault="00077589" w:rsidP="003548C8">
            <w:pPr>
              <w:spacing w:before="240"/>
              <w:cnfStyle w:val="000000100000" w:firstRow="0" w:lastRow="0" w:firstColumn="0" w:lastColumn="0" w:oddVBand="0" w:evenVBand="0" w:oddHBand="1" w:evenHBand="0" w:firstRowFirstColumn="0" w:firstRowLastColumn="0" w:lastRowFirstColumn="0" w:lastRowLastColumn="0"/>
              <w:rPr>
                <w:rFonts w:ascii="Gisha" w:hAnsi="Gisha" w:cs="Gisha"/>
                <w:sz w:val="18"/>
                <w:szCs w:val="18"/>
              </w:rPr>
            </w:pPr>
            <w:r w:rsidRPr="00F063F2">
              <w:rPr>
                <w:rFonts w:ascii="Gisha" w:hAnsi="Gisha" w:cs="Gisha"/>
                <w:sz w:val="18"/>
                <w:szCs w:val="18"/>
              </w:rPr>
              <w:t xml:space="preserve">1500 </w:t>
            </w:r>
            <w:proofErr w:type="spellStart"/>
            <w:r w:rsidRPr="00F063F2">
              <w:rPr>
                <w:rFonts w:ascii="Gisha" w:hAnsi="Gisha" w:cs="Gisha"/>
                <w:sz w:val="18"/>
                <w:szCs w:val="18"/>
              </w:rPr>
              <w:t>bce</w:t>
            </w:r>
            <w:proofErr w:type="spellEnd"/>
            <w:r w:rsidRPr="00F063F2">
              <w:rPr>
                <w:rFonts w:ascii="Gisha" w:hAnsi="Gisha" w:cs="Gisha"/>
                <w:sz w:val="18"/>
                <w:szCs w:val="18"/>
              </w:rPr>
              <w:t xml:space="preserve"> - 1900 </w:t>
            </w:r>
            <w:proofErr w:type="spellStart"/>
            <w:r w:rsidRPr="00F063F2">
              <w:rPr>
                <w:rFonts w:ascii="Gisha" w:hAnsi="Gisha" w:cs="Gisha"/>
                <w:sz w:val="18"/>
                <w:szCs w:val="18"/>
              </w:rPr>
              <w:t>ce</w:t>
            </w:r>
            <w:proofErr w:type="spellEnd"/>
          </w:p>
        </w:tc>
        <w:tc>
          <w:tcPr>
            <w:tcW w:w="900" w:type="dxa"/>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.63</w:t>
            </w:r>
          </w:p>
        </w:tc>
        <w:tc>
          <w:tcPr>
            <w:tcW w:w="1440"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C3C0D">
              <w:rPr>
                <w:rFonts w:ascii="Gisha" w:hAnsi="Gisha" w:cs="Gisha"/>
                <w:sz w:val="20"/>
                <w:szCs w:val="20"/>
              </w:rPr>
              <w:t>-.42#</w:t>
            </w:r>
          </w:p>
        </w:tc>
        <w:tc>
          <w:tcPr>
            <w:tcW w:w="1620"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.28</w:t>
            </w:r>
            <w:r w:rsidRPr="00AC3C0D">
              <w:rPr>
                <w:rFonts w:ascii="Gisha" w:hAnsi="Gisha" w:cs="Gisha"/>
                <w:sz w:val="20"/>
                <w:szCs w:val="20"/>
              </w:rPr>
              <w:t>#</w:t>
            </w:r>
          </w:p>
        </w:tc>
        <w:tc>
          <w:tcPr>
            <w:tcW w:w="1014"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sidRPr="00AC3C0D">
              <w:rPr>
                <w:rFonts w:ascii="Gisha" w:hAnsi="Gisha" w:cs="Gisha"/>
                <w:sz w:val="20"/>
                <w:szCs w:val="20"/>
              </w:rPr>
              <w:t>.45</w:t>
            </w:r>
          </w:p>
        </w:tc>
        <w:tc>
          <w:tcPr>
            <w:tcW w:w="2046" w:type="dxa"/>
            <w:gridSpan w:val="2"/>
          </w:tcPr>
          <w:p w:rsidR="00077589" w:rsidRPr="00AC3C0D" w:rsidRDefault="00077589" w:rsidP="003548C8">
            <w:pPr>
              <w:spacing w:before="240"/>
              <w:jc w:val="center"/>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.64</w:t>
            </w:r>
          </w:p>
        </w:tc>
        <w:tc>
          <w:tcPr>
            <w:tcW w:w="522" w:type="dxa"/>
          </w:tcPr>
          <w:p w:rsidR="00077589" w:rsidRPr="00AC3C0D" w:rsidRDefault="00077589" w:rsidP="00077589">
            <w:pPr>
              <w:spacing w:before="240"/>
              <w:cnfStyle w:val="000000100000" w:firstRow="0" w:lastRow="0" w:firstColumn="0" w:lastColumn="0" w:oddVBand="0" w:evenVBand="0" w:oddHBand="1" w:evenHBand="0" w:firstRowFirstColumn="0" w:firstRowLastColumn="0" w:lastRowFirstColumn="0" w:lastRowLastColumn="0"/>
              <w:rPr>
                <w:rFonts w:ascii="Gisha" w:hAnsi="Gisha" w:cs="Gisha"/>
                <w:sz w:val="20"/>
                <w:szCs w:val="20"/>
              </w:rPr>
            </w:pPr>
            <w:r>
              <w:rPr>
                <w:rFonts w:ascii="Gisha" w:hAnsi="Gisha" w:cs="Gisha"/>
                <w:sz w:val="20"/>
                <w:szCs w:val="20"/>
              </w:rPr>
              <w:t>69</w:t>
            </w:r>
          </w:p>
        </w:tc>
      </w:tr>
    </w:tbl>
    <w:p w:rsidR="006501BB" w:rsidRDefault="00163E43" w:rsidP="00A81BEB">
      <w:pPr>
        <w:pStyle w:val="Caption"/>
        <w:spacing w:before="0" w:after="0"/>
      </w:pPr>
      <w:r>
        <w:t>Table 1: Pearson’s r bivariate c</w:t>
      </w:r>
      <w:r w:rsidR="006501BB">
        <w:t>orrelation coefficients</w:t>
      </w:r>
      <w:r>
        <w:t xml:space="preserve"> </w:t>
      </w:r>
      <w:r w:rsidR="006501BB">
        <w:t xml:space="preserve"> </w:t>
      </w:r>
      <w:r w:rsidR="006501BB">
        <w:rPr>
          <w:rStyle w:val="FootnoteReference"/>
        </w:rPr>
        <w:footnoteReference w:id="16"/>
      </w:r>
    </w:p>
    <w:p w:rsidR="00163E43" w:rsidRPr="00A81BEB" w:rsidRDefault="00F1565D" w:rsidP="00A81BEB">
      <w:pPr>
        <w:pStyle w:val="Caption"/>
        <w:spacing w:before="0" w:after="0"/>
        <w:rPr>
          <w:rFonts w:ascii="Garamond" w:hAnsi="Garamond"/>
          <w:b w:val="0"/>
          <w:sz w:val="24"/>
          <w:szCs w:val="24"/>
        </w:rPr>
      </w:pPr>
      <w:r>
        <w:rPr>
          <w:rFonts w:ascii="Garamond" w:hAnsi="Garamond" w:cs="Courier New"/>
          <w:b w:val="0"/>
          <w:noProof/>
          <w:sz w:val="24"/>
          <w:szCs w:val="24"/>
        </w:rPr>
        <w:t>Note: the Mesopotamia and Egypt results are using 100-year time intervals. The others are usiing 50 year time intervals</w:t>
      </w:r>
      <w:r w:rsidRPr="00A81BEB">
        <w:rPr>
          <w:rFonts w:ascii="Garamond" w:hAnsi="Garamond" w:cs="Courier New"/>
          <w:b w:val="0"/>
          <w:noProof/>
          <w:sz w:val="24"/>
          <w:szCs w:val="24"/>
        </w:rPr>
        <w:t xml:space="preserve">. </w:t>
      </w:r>
      <w:r w:rsidR="00A81BEB" w:rsidRPr="00A81BEB">
        <w:rPr>
          <w:rFonts w:ascii="Garamond" w:hAnsi="Garamond" w:cs="Courier New"/>
          <w:b w:val="0"/>
          <w:noProof/>
          <w:sz w:val="24"/>
          <w:szCs w:val="24"/>
        </w:rPr>
        <w:t xml:space="preserve"> </w:t>
      </w:r>
      <w:r w:rsidR="00163E43" w:rsidRPr="00A81BEB">
        <w:rPr>
          <w:rFonts w:ascii="Garamond" w:hAnsi="Garamond"/>
          <w:b w:val="0"/>
          <w:sz w:val="24"/>
          <w:szCs w:val="24"/>
        </w:rPr>
        <w:t>#</w:t>
      </w:r>
      <w:r w:rsidR="00A81BEB">
        <w:rPr>
          <w:rFonts w:ascii="Garamond" w:hAnsi="Garamond"/>
          <w:b w:val="0"/>
          <w:sz w:val="24"/>
          <w:szCs w:val="24"/>
        </w:rPr>
        <w:t xml:space="preserve"> = </w:t>
      </w:r>
      <w:r w:rsidR="00163E43" w:rsidRPr="00A81BEB">
        <w:rPr>
          <w:rFonts w:ascii="Garamond" w:hAnsi="Garamond"/>
          <w:b w:val="0"/>
          <w:sz w:val="24"/>
          <w:szCs w:val="24"/>
        </w:rPr>
        <w:t>For the period from 1500 BCE to 700 BCE</w:t>
      </w:r>
    </w:p>
    <w:p w:rsidR="00A81BEB" w:rsidRDefault="00C3409A" w:rsidP="00A81BEB">
      <w:pPr>
        <w:pStyle w:val="Caption"/>
        <w:spacing w:before="0" w:after="0"/>
        <w:rPr>
          <w:rFonts w:ascii="Garamond" w:hAnsi="Garamond" w:cs="Gisha"/>
          <w:b w:val="0"/>
          <w:sz w:val="24"/>
          <w:szCs w:val="24"/>
        </w:rPr>
      </w:pPr>
      <w:r w:rsidRPr="0098654E">
        <w:rPr>
          <w:rFonts w:ascii="Garamond" w:hAnsi="Garamond" w:cs="Gisha"/>
          <w:b w:val="0"/>
          <w:sz w:val="24"/>
          <w:szCs w:val="24"/>
        </w:rPr>
        <w:tab/>
        <w:t xml:space="preserve">Table 1 shows the bivariate Pearson’s correlation coefficients (r) between power </w:t>
      </w:r>
      <w:r w:rsidR="006501BB">
        <w:rPr>
          <w:rFonts w:ascii="Garamond" w:hAnsi="Garamond" w:cs="Gisha"/>
          <w:b w:val="0"/>
          <w:sz w:val="24"/>
          <w:szCs w:val="24"/>
        </w:rPr>
        <w:t>configuration</w:t>
      </w:r>
      <w:r w:rsidRPr="0098654E">
        <w:rPr>
          <w:rFonts w:ascii="Garamond" w:hAnsi="Garamond" w:cs="Gisha"/>
          <w:b w:val="0"/>
          <w:sz w:val="24"/>
          <w:szCs w:val="24"/>
        </w:rPr>
        <w:t>, largest city size and largest polity size for each of the PMNs we are studying.</w:t>
      </w:r>
      <w:r w:rsidR="00163E43">
        <w:rPr>
          <w:rFonts w:ascii="Garamond" w:hAnsi="Garamond" w:cs="Gisha"/>
          <w:b w:val="0"/>
          <w:sz w:val="24"/>
          <w:szCs w:val="24"/>
        </w:rPr>
        <w:t xml:space="preserve"> For Egypt and Mesopotamia we use 100 year intervals, but for the others we use 50 year intervals.</w:t>
      </w:r>
      <w:r w:rsidRPr="0098654E">
        <w:rPr>
          <w:rFonts w:ascii="Garamond" w:hAnsi="Garamond" w:cs="Gisha"/>
          <w:b w:val="0"/>
          <w:sz w:val="24"/>
          <w:szCs w:val="24"/>
        </w:rPr>
        <w:t xml:space="preserve"> David Wilkinson has not yet finished coding power </w:t>
      </w:r>
      <w:r w:rsidR="006501BB">
        <w:rPr>
          <w:rFonts w:ascii="Garamond" w:hAnsi="Garamond" w:cs="Gisha"/>
          <w:b w:val="0"/>
          <w:sz w:val="24"/>
          <w:szCs w:val="24"/>
        </w:rPr>
        <w:t>configuration</w:t>
      </w:r>
      <w:r w:rsidRPr="0098654E">
        <w:rPr>
          <w:rFonts w:ascii="Garamond" w:hAnsi="Garamond" w:cs="Gisha"/>
          <w:b w:val="0"/>
          <w:sz w:val="24"/>
          <w:szCs w:val="24"/>
        </w:rPr>
        <w:t xml:space="preserve"> for the Central PMN, so </w:t>
      </w:r>
      <w:r w:rsidR="00A81BEB">
        <w:rPr>
          <w:rFonts w:ascii="Garamond" w:hAnsi="Garamond" w:cs="Gisha"/>
          <w:b w:val="0"/>
          <w:sz w:val="24"/>
          <w:szCs w:val="24"/>
        </w:rPr>
        <w:t xml:space="preserve">the correlations between </w:t>
      </w:r>
      <w:proofErr w:type="spellStart"/>
      <w:r w:rsidR="00A81BEB">
        <w:rPr>
          <w:rFonts w:ascii="Garamond" w:hAnsi="Garamond" w:cs="Gisha"/>
          <w:b w:val="0"/>
          <w:sz w:val="24"/>
          <w:szCs w:val="24"/>
        </w:rPr>
        <w:t>powcon</w:t>
      </w:r>
      <w:proofErr w:type="spellEnd"/>
      <w:r w:rsidR="0091098B">
        <w:rPr>
          <w:rFonts w:ascii="Garamond" w:hAnsi="Garamond" w:cs="Gisha"/>
          <w:b w:val="0"/>
          <w:sz w:val="24"/>
          <w:szCs w:val="24"/>
        </w:rPr>
        <w:t>,</w:t>
      </w:r>
      <w:r w:rsidR="00A81BEB">
        <w:rPr>
          <w:rFonts w:ascii="Garamond" w:hAnsi="Garamond" w:cs="Gisha"/>
          <w:b w:val="0"/>
          <w:sz w:val="24"/>
          <w:szCs w:val="24"/>
        </w:rPr>
        <w:t xml:space="preserve"> </w:t>
      </w:r>
      <w:proofErr w:type="spellStart"/>
      <w:r w:rsidR="00A81BEB">
        <w:rPr>
          <w:rFonts w:ascii="Garamond" w:hAnsi="Garamond" w:cs="Gisha"/>
          <w:b w:val="0"/>
          <w:sz w:val="24"/>
          <w:szCs w:val="24"/>
        </w:rPr>
        <w:t>cites</w:t>
      </w:r>
      <w:proofErr w:type="spellEnd"/>
      <w:r w:rsidR="00A81BEB">
        <w:rPr>
          <w:rFonts w:ascii="Garamond" w:hAnsi="Garamond" w:cs="Gisha"/>
          <w:b w:val="0"/>
          <w:sz w:val="24"/>
          <w:szCs w:val="24"/>
        </w:rPr>
        <w:t xml:space="preserve"> and states</w:t>
      </w:r>
    </w:p>
    <w:p w:rsidR="00A81BEB" w:rsidRDefault="00A81BEB" w:rsidP="00A81BEB">
      <w:pPr>
        <w:pStyle w:val="Caption"/>
        <w:spacing w:before="0" w:after="0"/>
        <w:rPr>
          <w:rFonts w:ascii="Garamond" w:hAnsi="Garamond" w:cs="Gisha"/>
          <w:b w:val="0"/>
          <w:sz w:val="24"/>
          <w:szCs w:val="24"/>
        </w:rPr>
      </w:pPr>
      <w:r>
        <w:rPr>
          <w:rFonts w:ascii="Garamond" w:hAnsi="Garamond" w:cs="Gisha"/>
          <w:b w:val="0"/>
          <w:sz w:val="24"/>
          <w:szCs w:val="24"/>
        </w:rPr>
        <w:lastRenderedPageBreak/>
        <w:t>are only for the period from 1500 BCE to 700 BCE.</w:t>
      </w:r>
      <w:r w:rsidR="00C3409A" w:rsidRPr="0098654E">
        <w:rPr>
          <w:rFonts w:ascii="Garamond" w:hAnsi="Garamond" w:cs="Gisha"/>
          <w:b w:val="0"/>
          <w:sz w:val="24"/>
          <w:szCs w:val="24"/>
        </w:rPr>
        <w:t xml:space="preserve"> </w:t>
      </w:r>
      <w:r w:rsidR="0098654E" w:rsidRPr="0098654E">
        <w:rPr>
          <w:rFonts w:ascii="Garamond" w:hAnsi="Garamond" w:cs="Gisha"/>
          <w:b w:val="0"/>
          <w:sz w:val="24"/>
          <w:szCs w:val="24"/>
        </w:rPr>
        <w:t>Table 1 also shows the time periods and the number of time points</w:t>
      </w:r>
      <w:r>
        <w:rPr>
          <w:rFonts w:ascii="Garamond" w:hAnsi="Garamond" w:cs="Gisha"/>
          <w:b w:val="0"/>
          <w:sz w:val="24"/>
          <w:szCs w:val="24"/>
        </w:rPr>
        <w:t xml:space="preserve"> (N) </w:t>
      </w:r>
      <w:r w:rsidR="0098654E" w:rsidRPr="0098654E">
        <w:rPr>
          <w:rFonts w:ascii="Garamond" w:hAnsi="Garamond" w:cs="Gisha"/>
          <w:b w:val="0"/>
          <w:sz w:val="24"/>
          <w:szCs w:val="24"/>
        </w:rPr>
        <w:t xml:space="preserve">used to calculate the Pearson’s </w:t>
      </w:r>
      <w:proofErr w:type="spellStart"/>
      <w:r w:rsidR="0098654E" w:rsidRPr="0098654E">
        <w:rPr>
          <w:rFonts w:ascii="Garamond" w:hAnsi="Garamond" w:cs="Gisha"/>
          <w:b w:val="0"/>
          <w:sz w:val="24"/>
          <w:szCs w:val="24"/>
        </w:rPr>
        <w:t>rs</w:t>
      </w:r>
      <w:proofErr w:type="spellEnd"/>
      <w:r w:rsidR="0098654E" w:rsidRPr="0098654E">
        <w:rPr>
          <w:rFonts w:ascii="Garamond" w:hAnsi="Garamond" w:cs="Gisha"/>
          <w:b w:val="0"/>
          <w:sz w:val="24"/>
          <w:szCs w:val="24"/>
        </w:rPr>
        <w:t xml:space="preserve">. And we also show the correlations between cities and states with year to see how important the long-term trend may be and how it may influence the other correlations. There is no </w:t>
      </w:r>
      <w:r>
        <w:rPr>
          <w:rFonts w:ascii="Garamond" w:hAnsi="Garamond" w:cs="Gisha"/>
          <w:b w:val="0"/>
          <w:sz w:val="24"/>
          <w:szCs w:val="24"/>
        </w:rPr>
        <w:t>usual long-term trend for</w:t>
      </w:r>
      <w:r w:rsidR="0098654E" w:rsidRPr="0098654E">
        <w:rPr>
          <w:rFonts w:ascii="Garamond" w:hAnsi="Garamond" w:cs="Gisha"/>
          <w:b w:val="0"/>
          <w:sz w:val="24"/>
          <w:szCs w:val="24"/>
        </w:rPr>
        <w:t xml:space="preserve"> power </w:t>
      </w:r>
      <w:r w:rsidR="006501BB">
        <w:rPr>
          <w:rFonts w:ascii="Garamond" w:hAnsi="Garamond" w:cs="Gisha"/>
          <w:b w:val="0"/>
          <w:sz w:val="24"/>
          <w:szCs w:val="24"/>
        </w:rPr>
        <w:t>configuration</w:t>
      </w:r>
      <w:r w:rsidR="0098654E" w:rsidRPr="0098654E">
        <w:rPr>
          <w:rFonts w:ascii="Garamond" w:hAnsi="Garamond" w:cs="Gisha"/>
          <w:b w:val="0"/>
          <w:sz w:val="24"/>
          <w:szCs w:val="24"/>
        </w:rPr>
        <w:t xml:space="preserve"> </w:t>
      </w:r>
      <w:r>
        <w:rPr>
          <w:rFonts w:ascii="Garamond" w:hAnsi="Garamond" w:cs="Gisha"/>
          <w:b w:val="0"/>
          <w:sz w:val="24"/>
          <w:szCs w:val="24"/>
        </w:rPr>
        <w:t>so we do not show its correlations with year.</w:t>
      </w:r>
    </w:p>
    <w:p w:rsidR="0091098B" w:rsidRDefault="00A81BEB" w:rsidP="002D1D5A">
      <w:pPr>
        <w:rPr>
          <w:rFonts w:ascii="Garamond" w:hAnsi="Garamond" w:cs="Gisha"/>
          <w:sz w:val="24"/>
          <w:szCs w:val="24"/>
        </w:rPr>
      </w:pPr>
      <w:r>
        <w:rPr>
          <w:rFonts w:ascii="Garamond" w:hAnsi="Garamond" w:cs="Gisha"/>
          <w:sz w:val="24"/>
          <w:szCs w:val="24"/>
        </w:rPr>
        <w:tab/>
        <w:t>Table 1 reveals somewhat</w:t>
      </w:r>
      <w:r w:rsidR="003814AF">
        <w:rPr>
          <w:rFonts w:ascii="Garamond" w:hAnsi="Garamond" w:cs="Gisha"/>
          <w:sz w:val="24"/>
          <w:szCs w:val="24"/>
        </w:rPr>
        <w:t xml:space="preserve"> different patterns across the five PMNs. The state/city bivariate correlation is generally positi</w:t>
      </w:r>
      <w:r w:rsidR="0091098B">
        <w:rPr>
          <w:rFonts w:ascii="Garamond" w:hAnsi="Garamond" w:cs="Gisha"/>
          <w:sz w:val="24"/>
          <w:szCs w:val="24"/>
        </w:rPr>
        <w:t>ve, but slightly negative</w:t>
      </w:r>
      <w:r w:rsidR="003814AF">
        <w:rPr>
          <w:rFonts w:ascii="Garamond" w:hAnsi="Garamond" w:cs="Gisha"/>
          <w:sz w:val="24"/>
          <w:szCs w:val="24"/>
        </w:rPr>
        <w:t xml:space="preserve"> for Mesopotamia</w:t>
      </w:r>
      <w:r w:rsidR="0091098B">
        <w:rPr>
          <w:rFonts w:ascii="Garamond" w:hAnsi="Garamond" w:cs="Gisha"/>
          <w:sz w:val="24"/>
          <w:szCs w:val="24"/>
        </w:rPr>
        <w:t xml:space="preserve"> during this time period</w:t>
      </w:r>
      <w:r w:rsidR="003814AF">
        <w:rPr>
          <w:rFonts w:ascii="Garamond" w:hAnsi="Garamond" w:cs="Gisha"/>
          <w:sz w:val="24"/>
          <w:szCs w:val="24"/>
        </w:rPr>
        <w:t>.</w:t>
      </w:r>
      <w:r w:rsidR="0062094F">
        <w:rPr>
          <w:rStyle w:val="FootnoteReference"/>
          <w:rFonts w:ascii="Garamond" w:hAnsi="Garamond" w:cs="Gisha"/>
          <w:sz w:val="24"/>
          <w:szCs w:val="24"/>
        </w:rPr>
        <w:footnoteReference w:id="17"/>
      </w:r>
      <w:r w:rsidR="003814AF">
        <w:rPr>
          <w:rFonts w:ascii="Garamond" w:hAnsi="Garamond" w:cs="Gisha"/>
          <w:sz w:val="24"/>
          <w:szCs w:val="24"/>
        </w:rPr>
        <w:t xml:space="preserve"> The power </w:t>
      </w:r>
      <w:r w:rsidR="006501BB">
        <w:rPr>
          <w:rFonts w:ascii="Garamond" w:hAnsi="Garamond" w:cs="Gisha"/>
          <w:sz w:val="24"/>
          <w:szCs w:val="24"/>
        </w:rPr>
        <w:t>configuration</w:t>
      </w:r>
      <w:r w:rsidR="003814AF">
        <w:rPr>
          <w:rFonts w:ascii="Garamond" w:hAnsi="Garamond" w:cs="Gisha"/>
          <w:sz w:val="24"/>
          <w:szCs w:val="24"/>
        </w:rPr>
        <w:t>/city correlation is negative for the Egyptian PMN</w:t>
      </w:r>
      <w:r w:rsidR="0091098B">
        <w:rPr>
          <w:rFonts w:ascii="Garamond" w:hAnsi="Garamond" w:cs="Gisha"/>
          <w:sz w:val="24"/>
          <w:szCs w:val="24"/>
        </w:rPr>
        <w:t xml:space="preserve"> and for the Central PMN during the period for which we have </w:t>
      </w:r>
      <w:proofErr w:type="spellStart"/>
      <w:r w:rsidR="0091098B">
        <w:rPr>
          <w:rFonts w:ascii="Garamond" w:hAnsi="Garamond" w:cs="Gisha"/>
          <w:sz w:val="24"/>
          <w:szCs w:val="24"/>
        </w:rPr>
        <w:t>powcon</w:t>
      </w:r>
      <w:proofErr w:type="spellEnd"/>
      <w:r w:rsidR="0091098B">
        <w:rPr>
          <w:rFonts w:ascii="Garamond" w:hAnsi="Garamond" w:cs="Gisha"/>
          <w:sz w:val="24"/>
          <w:szCs w:val="24"/>
        </w:rPr>
        <w:t xml:space="preserve"> estimates. It is</w:t>
      </w:r>
      <w:r w:rsidR="003814AF">
        <w:rPr>
          <w:rFonts w:ascii="Garamond" w:hAnsi="Garamond" w:cs="Gisha"/>
          <w:sz w:val="24"/>
          <w:szCs w:val="24"/>
        </w:rPr>
        <w:t xml:space="preserve"> positive for Mesopotamia</w:t>
      </w:r>
      <w:r w:rsidR="0091098B">
        <w:rPr>
          <w:rFonts w:ascii="Garamond" w:hAnsi="Garamond" w:cs="Gisha"/>
          <w:sz w:val="24"/>
          <w:szCs w:val="24"/>
        </w:rPr>
        <w:t xml:space="preserve"> (.26) but</w:t>
      </w:r>
      <w:r w:rsidR="00062D08">
        <w:rPr>
          <w:rFonts w:ascii="Garamond" w:hAnsi="Garamond" w:cs="Gisha"/>
          <w:sz w:val="24"/>
          <w:szCs w:val="24"/>
        </w:rPr>
        <w:t xml:space="preserve"> less positive for </w:t>
      </w:r>
      <w:r w:rsidR="00B4348D">
        <w:rPr>
          <w:rFonts w:ascii="Garamond" w:hAnsi="Garamond" w:cs="Gisha"/>
          <w:sz w:val="24"/>
          <w:szCs w:val="24"/>
        </w:rPr>
        <w:t>South Asia</w:t>
      </w:r>
      <w:r w:rsidR="00062D08">
        <w:rPr>
          <w:rFonts w:ascii="Garamond" w:hAnsi="Garamond" w:cs="Gisha"/>
          <w:sz w:val="24"/>
          <w:szCs w:val="24"/>
        </w:rPr>
        <w:t xml:space="preserve"> </w:t>
      </w:r>
      <w:r w:rsidR="0091098B">
        <w:rPr>
          <w:rFonts w:ascii="Garamond" w:hAnsi="Garamond" w:cs="Gisha"/>
          <w:sz w:val="24"/>
          <w:szCs w:val="24"/>
        </w:rPr>
        <w:t>and nearly null for</w:t>
      </w:r>
      <w:r w:rsidR="00062D08">
        <w:rPr>
          <w:rFonts w:ascii="Garamond" w:hAnsi="Garamond" w:cs="Gisha"/>
          <w:sz w:val="24"/>
          <w:szCs w:val="24"/>
        </w:rPr>
        <w:t xml:space="preserve"> East Asia. </w:t>
      </w:r>
      <w:r w:rsidR="0091098B">
        <w:rPr>
          <w:rFonts w:ascii="Garamond" w:hAnsi="Garamond" w:cs="Gisha"/>
          <w:sz w:val="24"/>
          <w:szCs w:val="24"/>
        </w:rPr>
        <w:t xml:space="preserve">The power </w:t>
      </w:r>
      <w:r w:rsidR="006501BB">
        <w:rPr>
          <w:rFonts w:ascii="Garamond" w:hAnsi="Garamond" w:cs="Gisha"/>
          <w:sz w:val="24"/>
          <w:szCs w:val="24"/>
        </w:rPr>
        <w:t>configuration</w:t>
      </w:r>
      <w:r w:rsidR="0091098B">
        <w:rPr>
          <w:rFonts w:ascii="Garamond" w:hAnsi="Garamond" w:cs="Gisha"/>
          <w:sz w:val="24"/>
          <w:szCs w:val="24"/>
        </w:rPr>
        <w:t xml:space="preserve"> correlation with the size of the largest state is slightly negative for Egypt, but positive for the other PMNs. The correlation between year and city</w:t>
      </w:r>
      <w:r w:rsidR="003E6116">
        <w:rPr>
          <w:rFonts w:ascii="Garamond" w:hAnsi="Garamond" w:cs="Gisha"/>
          <w:sz w:val="24"/>
          <w:szCs w:val="24"/>
        </w:rPr>
        <w:t xml:space="preserve"> is positive for the Central and East Asian PMNs and for Egypt, but negative for South Asia and Mesopotamia.</w:t>
      </w:r>
    </w:p>
    <w:p w:rsidR="002B149E" w:rsidRDefault="00062D08" w:rsidP="002D1D5A">
      <w:pPr>
        <w:rPr>
          <w:rFonts w:ascii="Garamond" w:hAnsi="Garamond" w:cs="Gisha"/>
          <w:sz w:val="24"/>
          <w:szCs w:val="24"/>
        </w:rPr>
      </w:pPr>
      <w:r>
        <w:rPr>
          <w:rFonts w:ascii="Garamond" w:hAnsi="Garamond" w:cs="Gisha"/>
          <w:sz w:val="24"/>
          <w:szCs w:val="24"/>
        </w:rPr>
        <w:t>More light can be shed on these correlations by examination of the charts that plot the changes for each PMN.</w:t>
      </w:r>
      <w:r w:rsidR="00554E69">
        <w:rPr>
          <w:rFonts w:ascii="Garamond" w:hAnsi="Garamond" w:cs="Gisha"/>
          <w:sz w:val="24"/>
          <w:szCs w:val="24"/>
        </w:rPr>
        <w:t xml:space="preserve"> </w:t>
      </w:r>
    </w:p>
    <w:p w:rsidR="00A75736" w:rsidRDefault="00037F39" w:rsidP="002B149E">
      <w:pPr>
        <w:jc w:val="center"/>
        <w:rPr>
          <w:rFonts w:ascii="Arial" w:hAnsi="Arial" w:cs="Arial"/>
          <w:sz w:val="24"/>
          <w:szCs w:val="24"/>
        </w:rPr>
      </w:pPr>
      <w:r w:rsidRPr="00037F39">
        <w:rPr>
          <w:rFonts w:ascii="Arial" w:hAnsi="Arial" w:cs="Arial"/>
          <w:noProof/>
          <w:sz w:val="24"/>
          <w:szCs w:val="24"/>
          <w:lang w:eastAsia="en-US"/>
        </w:rPr>
        <mc:AlternateContent>
          <mc:Choice Requires="wps">
            <w:drawing>
              <wp:anchor distT="0" distB="0" distL="114300" distR="114300" simplePos="0" relativeHeight="251662336" behindDoc="0" locked="0" layoutInCell="1" allowOverlap="1" wp14:anchorId="71E7CC5D" wp14:editId="6497F0DD">
                <wp:simplePos x="0" y="0"/>
                <wp:positionH relativeFrom="column">
                  <wp:posOffset>2076450</wp:posOffset>
                </wp:positionH>
                <wp:positionV relativeFrom="paragraph">
                  <wp:posOffset>57150</wp:posOffset>
                </wp:positionV>
                <wp:extent cx="1238250" cy="1403985"/>
                <wp:effectExtent l="0" t="0" r="1905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3985"/>
                        </a:xfrm>
                        <a:prstGeom prst="rect">
                          <a:avLst/>
                        </a:prstGeom>
                        <a:solidFill>
                          <a:srgbClr val="FFFFFF"/>
                        </a:solidFill>
                        <a:ln w="9525">
                          <a:solidFill>
                            <a:srgbClr val="000000"/>
                          </a:solidFill>
                          <a:miter lim="800000"/>
                          <a:headEnd/>
                          <a:tailEnd/>
                        </a:ln>
                      </wps:spPr>
                      <wps:txbx>
                        <w:txbxContent>
                          <w:p w:rsidR="00B10D9A" w:rsidRDefault="00B10D9A">
                            <w:r>
                              <w:t>Akkadian Empire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3.5pt;margin-top:4.5pt;width:9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oyJQIAAE0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">
                <v:textbox style="mso-fit-shape-to-text:t">
                  <w:txbxContent>
                    <w:p w:rsidR="00B10D9A" w:rsidRDefault="00B10D9A">
                      <w:r>
                        <w:t>Akkadian Empire</w:t>
                      </w:r>
                    </w:p>
                  </w:txbxContent>
                </v:textbox>
              </v:shape>
            </w:pict>
          </mc:Fallback>
        </mc:AlternateContent>
      </w:r>
      <w:r w:rsidR="0091098B">
        <w:rPr>
          <w:noProof/>
          <w:lang w:eastAsia="en-US"/>
        </w:rPr>
        <w:drawing>
          <wp:inline distT="0" distB="0" distL="0" distR="0" wp14:anchorId="34002979" wp14:editId="0543E2F9">
            <wp:extent cx="5943600" cy="4318635"/>
            <wp:effectExtent l="0" t="0" r="19050" b="247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62D08" w:rsidRDefault="007C0ED7" w:rsidP="00652F9B">
      <w:pPr>
        <w:pStyle w:val="Caption"/>
        <w:spacing w:before="0" w:after="0"/>
        <w:rPr>
          <w:rStyle w:val="Hyperlink"/>
          <w:rFonts w:ascii="Garamond" w:hAnsi="Garamond" w:cs="Courier New"/>
          <w:b w:val="0"/>
          <w:sz w:val="24"/>
          <w:szCs w:val="24"/>
        </w:rPr>
      </w:pPr>
      <w:r>
        <w:t>Figure 2</w:t>
      </w:r>
      <w:r w:rsidR="00062D08">
        <w:t xml:space="preserve">: Mesopotamia, </w:t>
      </w:r>
      <w:r w:rsidR="0091098B">
        <w:t>27</w:t>
      </w:r>
      <w:r w:rsidR="00062D08">
        <w:t xml:space="preserve">00-1500 BCE </w:t>
      </w:r>
    </w:p>
    <w:p w:rsidR="00062D08" w:rsidRDefault="007339EF" w:rsidP="00652F9B">
      <w:pPr>
        <w:pStyle w:val="Caption"/>
        <w:spacing w:before="0" w:after="0"/>
        <w:rPr>
          <w:rFonts w:ascii="Garamond" w:hAnsi="Garamond"/>
          <w:b w:val="0"/>
          <w:sz w:val="24"/>
          <w:szCs w:val="24"/>
        </w:rPr>
      </w:pPr>
      <w:r>
        <w:rPr>
          <w:rFonts w:ascii="Garamond" w:hAnsi="Garamond"/>
          <w:sz w:val="24"/>
          <w:szCs w:val="24"/>
        </w:rPr>
        <w:tab/>
      </w:r>
      <w:r w:rsidR="007C0ED7">
        <w:rPr>
          <w:rFonts w:ascii="Garamond" w:hAnsi="Garamond"/>
          <w:b w:val="0"/>
          <w:sz w:val="24"/>
          <w:szCs w:val="24"/>
        </w:rPr>
        <w:t>Figure 2</w:t>
      </w:r>
      <w:r>
        <w:rPr>
          <w:rFonts w:ascii="Garamond" w:hAnsi="Garamond"/>
          <w:b w:val="0"/>
          <w:sz w:val="24"/>
          <w:szCs w:val="24"/>
        </w:rPr>
        <w:t xml:space="preserve"> shows the trajectories of</w:t>
      </w:r>
      <w:r w:rsidR="0062094F">
        <w:rPr>
          <w:rFonts w:ascii="Garamond" w:hAnsi="Garamond"/>
          <w:b w:val="0"/>
          <w:sz w:val="24"/>
          <w:szCs w:val="24"/>
        </w:rPr>
        <w:t xml:space="preserve"> our three variables for</w:t>
      </w:r>
      <w:r>
        <w:rPr>
          <w:rFonts w:ascii="Garamond" w:hAnsi="Garamond"/>
          <w:b w:val="0"/>
          <w:sz w:val="24"/>
          <w:szCs w:val="24"/>
        </w:rPr>
        <w:t xml:space="preserve"> Mesopotamia</w:t>
      </w:r>
      <w:r w:rsidR="0062094F">
        <w:rPr>
          <w:rFonts w:ascii="Garamond" w:hAnsi="Garamond"/>
          <w:b w:val="0"/>
          <w:sz w:val="24"/>
          <w:szCs w:val="24"/>
        </w:rPr>
        <w:t xml:space="preserve"> during the period in the late</w:t>
      </w:r>
      <w:r>
        <w:rPr>
          <w:rFonts w:ascii="Garamond" w:hAnsi="Garamond"/>
          <w:b w:val="0"/>
          <w:sz w:val="24"/>
          <w:szCs w:val="24"/>
        </w:rPr>
        <w:t xml:space="preserve"> Bronze and early Iron ages</w:t>
      </w:r>
      <w:r w:rsidR="0062094F">
        <w:rPr>
          <w:rFonts w:ascii="Garamond" w:hAnsi="Garamond"/>
          <w:b w:val="0"/>
          <w:sz w:val="24"/>
          <w:szCs w:val="24"/>
        </w:rPr>
        <w:t xml:space="preserve"> </w:t>
      </w:r>
      <w:r w:rsidR="00C1198D">
        <w:rPr>
          <w:rFonts w:ascii="Garamond" w:hAnsi="Garamond"/>
          <w:b w:val="0"/>
          <w:sz w:val="24"/>
          <w:szCs w:val="24"/>
        </w:rPr>
        <w:t>for</w:t>
      </w:r>
      <w:r w:rsidR="0062094F">
        <w:rPr>
          <w:rFonts w:ascii="Garamond" w:hAnsi="Garamond"/>
          <w:b w:val="0"/>
          <w:sz w:val="24"/>
          <w:szCs w:val="24"/>
        </w:rPr>
        <w:t xml:space="preserve"> which we have </w:t>
      </w:r>
      <w:proofErr w:type="spellStart"/>
      <w:r w:rsidR="0062094F">
        <w:rPr>
          <w:rFonts w:ascii="Garamond" w:hAnsi="Garamond"/>
          <w:b w:val="0"/>
          <w:sz w:val="24"/>
          <w:szCs w:val="24"/>
        </w:rPr>
        <w:t>powcon</w:t>
      </w:r>
      <w:proofErr w:type="spellEnd"/>
      <w:r w:rsidR="0062094F">
        <w:rPr>
          <w:rFonts w:ascii="Garamond" w:hAnsi="Garamond"/>
          <w:b w:val="0"/>
          <w:sz w:val="24"/>
          <w:szCs w:val="24"/>
        </w:rPr>
        <w:t xml:space="preserve"> estimates</w:t>
      </w:r>
      <w:r>
        <w:rPr>
          <w:rFonts w:ascii="Garamond" w:hAnsi="Garamond"/>
          <w:b w:val="0"/>
          <w:sz w:val="24"/>
          <w:szCs w:val="24"/>
        </w:rPr>
        <w:t xml:space="preserve">. Cities </w:t>
      </w:r>
      <w:r w:rsidR="006F0BDD">
        <w:rPr>
          <w:rFonts w:ascii="Garamond" w:hAnsi="Garamond"/>
          <w:b w:val="0"/>
          <w:sz w:val="24"/>
          <w:szCs w:val="24"/>
        </w:rPr>
        <w:t xml:space="preserve">grew and then got smaller during this period. </w:t>
      </w:r>
      <w:r w:rsidR="00F75C62">
        <w:rPr>
          <w:rFonts w:ascii="Garamond" w:hAnsi="Garamond"/>
          <w:b w:val="0"/>
          <w:sz w:val="24"/>
          <w:szCs w:val="24"/>
        </w:rPr>
        <w:t>The correlation between year and city size in Table 1 is negative and statistically significant</w:t>
      </w:r>
      <w:r w:rsidR="00A3158A">
        <w:rPr>
          <w:rFonts w:ascii="Garamond" w:hAnsi="Garamond"/>
          <w:b w:val="0"/>
          <w:sz w:val="24"/>
          <w:szCs w:val="24"/>
        </w:rPr>
        <w:t xml:space="preserve">. </w:t>
      </w:r>
      <w:r>
        <w:rPr>
          <w:rFonts w:ascii="Garamond" w:hAnsi="Garamond"/>
          <w:b w:val="0"/>
          <w:sz w:val="24"/>
          <w:szCs w:val="24"/>
        </w:rPr>
        <w:t>The polity size story is</w:t>
      </w:r>
      <w:r w:rsidR="006F0BDD">
        <w:rPr>
          <w:rFonts w:ascii="Garamond" w:hAnsi="Garamond"/>
          <w:b w:val="0"/>
          <w:sz w:val="24"/>
          <w:szCs w:val="24"/>
        </w:rPr>
        <w:t xml:space="preserve"> rath</w:t>
      </w:r>
      <w:r w:rsidR="00F75C62">
        <w:rPr>
          <w:rFonts w:ascii="Garamond" w:hAnsi="Garamond"/>
          <w:b w:val="0"/>
          <w:sz w:val="24"/>
          <w:szCs w:val="24"/>
        </w:rPr>
        <w:t>er different. Polities grew</w:t>
      </w:r>
      <w:r w:rsidR="006F0BDD">
        <w:rPr>
          <w:rFonts w:ascii="Garamond" w:hAnsi="Garamond"/>
          <w:b w:val="0"/>
          <w:sz w:val="24"/>
          <w:szCs w:val="24"/>
        </w:rPr>
        <w:t xml:space="preserve"> slowly until </w:t>
      </w:r>
      <w:r>
        <w:rPr>
          <w:rFonts w:ascii="Garamond" w:hAnsi="Garamond"/>
          <w:b w:val="0"/>
          <w:sz w:val="24"/>
          <w:szCs w:val="24"/>
        </w:rPr>
        <w:t>the</w:t>
      </w:r>
      <w:r w:rsidR="006F0BDD">
        <w:rPr>
          <w:rFonts w:ascii="Garamond" w:hAnsi="Garamond"/>
          <w:b w:val="0"/>
          <w:sz w:val="24"/>
          <w:szCs w:val="24"/>
        </w:rPr>
        <w:t xml:space="preserve"> dramatic</w:t>
      </w:r>
      <w:r>
        <w:rPr>
          <w:rFonts w:ascii="Garamond" w:hAnsi="Garamond"/>
          <w:b w:val="0"/>
          <w:sz w:val="24"/>
          <w:szCs w:val="24"/>
        </w:rPr>
        <w:t xml:space="preserve"> rise and fall of the huge</w:t>
      </w:r>
      <w:r w:rsidR="00F75C62">
        <w:rPr>
          <w:rFonts w:ascii="Garamond" w:hAnsi="Garamond"/>
          <w:b w:val="0"/>
          <w:sz w:val="24"/>
          <w:szCs w:val="24"/>
        </w:rPr>
        <w:t>,</w:t>
      </w:r>
      <w:r>
        <w:rPr>
          <w:rFonts w:ascii="Garamond" w:hAnsi="Garamond"/>
          <w:b w:val="0"/>
          <w:sz w:val="24"/>
          <w:szCs w:val="24"/>
        </w:rPr>
        <w:t xml:space="preserve"> but short-</w:t>
      </w:r>
      <w:r>
        <w:rPr>
          <w:rFonts w:ascii="Garamond" w:hAnsi="Garamond"/>
          <w:b w:val="0"/>
          <w:sz w:val="24"/>
          <w:szCs w:val="24"/>
        </w:rPr>
        <w:lastRenderedPageBreak/>
        <w:t>lived</w:t>
      </w:r>
      <w:r w:rsidR="00F75C62">
        <w:rPr>
          <w:rFonts w:ascii="Garamond" w:hAnsi="Garamond"/>
          <w:b w:val="0"/>
          <w:sz w:val="24"/>
          <w:szCs w:val="24"/>
        </w:rPr>
        <w:t>,</w:t>
      </w:r>
      <w:r>
        <w:rPr>
          <w:rFonts w:ascii="Garamond" w:hAnsi="Garamond"/>
          <w:b w:val="0"/>
          <w:sz w:val="24"/>
          <w:szCs w:val="24"/>
        </w:rPr>
        <w:t xml:space="preserve"> Akkadian Empire</w:t>
      </w:r>
      <w:r w:rsidR="00F75C62">
        <w:rPr>
          <w:rFonts w:ascii="Garamond" w:hAnsi="Garamond"/>
          <w:b w:val="0"/>
          <w:sz w:val="24"/>
          <w:szCs w:val="24"/>
        </w:rPr>
        <w:t>. But</w:t>
      </w:r>
      <w:r w:rsidR="006F0BDD">
        <w:rPr>
          <w:rFonts w:ascii="Garamond" w:hAnsi="Garamond"/>
          <w:b w:val="0"/>
          <w:sz w:val="24"/>
          <w:szCs w:val="24"/>
        </w:rPr>
        <w:t xml:space="preserve"> then their upward trajec</w:t>
      </w:r>
      <w:r w:rsidR="00F75C62">
        <w:rPr>
          <w:rFonts w:ascii="Garamond" w:hAnsi="Garamond"/>
          <w:b w:val="0"/>
          <w:sz w:val="24"/>
          <w:szCs w:val="24"/>
        </w:rPr>
        <w:t>tory resumed, unlike that of</w:t>
      </w:r>
      <w:r w:rsidR="006F0BDD">
        <w:rPr>
          <w:rFonts w:ascii="Garamond" w:hAnsi="Garamond"/>
          <w:b w:val="0"/>
          <w:sz w:val="24"/>
          <w:szCs w:val="24"/>
        </w:rPr>
        <w:t xml:space="preserve"> cities</w:t>
      </w:r>
      <w:r w:rsidR="00F75C62">
        <w:rPr>
          <w:rFonts w:ascii="Garamond" w:hAnsi="Garamond"/>
          <w:b w:val="0"/>
          <w:sz w:val="24"/>
          <w:szCs w:val="24"/>
        </w:rPr>
        <w:t xml:space="preserve"> in this time period</w:t>
      </w:r>
      <w:r>
        <w:rPr>
          <w:rFonts w:ascii="Garamond" w:hAnsi="Garamond"/>
          <w:b w:val="0"/>
          <w:sz w:val="24"/>
          <w:szCs w:val="24"/>
        </w:rPr>
        <w:t xml:space="preserve">. The Power </w:t>
      </w:r>
      <w:r w:rsidR="006F0BDD">
        <w:rPr>
          <w:rFonts w:ascii="Garamond" w:hAnsi="Garamond"/>
          <w:b w:val="0"/>
          <w:sz w:val="24"/>
          <w:szCs w:val="24"/>
        </w:rPr>
        <w:t xml:space="preserve">Configuration polarity </w:t>
      </w:r>
      <w:r w:rsidR="00F75C62">
        <w:rPr>
          <w:rFonts w:ascii="Garamond" w:hAnsi="Garamond"/>
          <w:b w:val="0"/>
          <w:sz w:val="24"/>
          <w:szCs w:val="24"/>
        </w:rPr>
        <w:t>sequence, which Wilkinson started coding in</w:t>
      </w:r>
      <w:r w:rsidR="006F0BDD">
        <w:rPr>
          <w:rFonts w:ascii="Garamond" w:hAnsi="Garamond"/>
          <w:b w:val="0"/>
          <w:sz w:val="24"/>
          <w:szCs w:val="24"/>
        </w:rPr>
        <w:t xml:space="preserve"> 2700 BCE, </w:t>
      </w:r>
      <w:r>
        <w:rPr>
          <w:rFonts w:ascii="Garamond" w:hAnsi="Garamond"/>
          <w:b w:val="0"/>
          <w:sz w:val="24"/>
          <w:szCs w:val="24"/>
        </w:rPr>
        <w:t xml:space="preserve">shows oscillations that </w:t>
      </w:r>
      <w:r w:rsidR="00A3158A">
        <w:rPr>
          <w:rFonts w:ascii="Garamond" w:hAnsi="Garamond"/>
          <w:b w:val="0"/>
          <w:sz w:val="24"/>
          <w:szCs w:val="24"/>
        </w:rPr>
        <w:t>sometimes, but not always, follow the trajectory of the territorial size of the largest polity. The Akkadian empire corresponds with a rise in the centrality of the power configuration coding, but later territorial size rises do not seem to track it.</w:t>
      </w:r>
      <w:r w:rsidR="00F75C62">
        <w:rPr>
          <w:rFonts w:ascii="Garamond" w:hAnsi="Garamond"/>
          <w:b w:val="0"/>
          <w:sz w:val="24"/>
          <w:szCs w:val="24"/>
        </w:rPr>
        <w:t xml:space="preserve"> This results in the small positive bivariate correlation between </w:t>
      </w:r>
      <w:proofErr w:type="spellStart"/>
      <w:r w:rsidR="00F75C62">
        <w:rPr>
          <w:rFonts w:ascii="Garamond" w:hAnsi="Garamond"/>
          <w:b w:val="0"/>
          <w:sz w:val="24"/>
          <w:szCs w:val="24"/>
        </w:rPr>
        <w:t>powcon</w:t>
      </w:r>
      <w:proofErr w:type="spellEnd"/>
      <w:r w:rsidR="00F75C62">
        <w:rPr>
          <w:rFonts w:ascii="Garamond" w:hAnsi="Garamond"/>
          <w:b w:val="0"/>
          <w:sz w:val="24"/>
          <w:szCs w:val="24"/>
        </w:rPr>
        <w:t xml:space="preserve"> and the size of the largest state (.17) shown in Table 1. </w:t>
      </w:r>
    </w:p>
    <w:p w:rsidR="00597B6F" w:rsidRDefault="00BF6CE9" w:rsidP="00597B6F">
      <w:pPr>
        <w:rPr>
          <w:lang w:eastAsia="en-US"/>
        </w:rPr>
      </w:pPr>
      <w:r>
        <w:rPr>
          <w:noProof/>
          <w:lang w:eastAsia="en-US"/>
        </w:rPr>
        <w:drawing>
          <wp:inline distT="0" distB="0" distL="0" distR="0" wp14:anchorId="18672009" wp14:editId="4744A7E0">
            <wp:extent cx="5943600" cy="4318635"/>
            <wp:effectExtent l="0" t="0" r="19050" b="247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7B6F" w:rsidRDefault="007C0ED7" w:rsidP="00652F9B">
      <w:pPr>
        <w:pStyle w:val="Caption"/>
        <w:spacing w:before="0" w:after="0"/>
        <w:rPr>
          <w:rStyle w:val="Hyperlink"/>
          <w:rFonts w:ascii="Garamond" w:hAnsi="Garamond" w:cs="Courier New"/>
          <w:b w:val="0"/>
          <w:sz w:val="24"/>
          <w:szCs w:val="24"/>
        </w:rPr>
      </w:pPr>
      <w:r>
        <w:t>Figure 3</w:t>
      </w:r>
      <w:r w:rsidR="00597B6F">
        <w:t xml:space="preserve">: Egyptian PMN, </w:t>
      </w:r>
      <w:r w:rsidR="00F32C80">
        <w:t>33</w:t>
      </w:r>
      <w:r w:rsidR="00597B6F">
        <w:t xml:space="preserve">00-1500 BCE </w:t>
      </w:r>
    </w:p>
    <w:p w:rsidR="00062D08" w:rsidRDefault="00597B6F" w:rsidP="00652F9B">
      <w:pPr>
        <w:rPr>
          <w:rFonts w:ascii="Garamond" w:hAnsi="Garamond"/>
          <w:sz w:val="24"/>
          <w:szCs w:val="24"/>
        </w:rPr>
      </w:pPr>
      <w:r>
        <w:tab/>
      </w:r>
      <w:r>
        <w:rPr>
          <w:rFonts w:ascii="Garamond" w:hAnsi="Garamond"/>
          <w:sz w:val="24"/>
          <w:szCs w:val="24"/>
        </w:rPr>
        <w:t>The story of the Egyptian PMN i</w:t>
      </w:r>
      <w:r w:rsidR="00F32C80">
        <w:rPr>
          <w:rFonts w:ascii="Garamond" w:hAnsi="Garamond"/>
          <w:sz w:val="24"/>
          <w:szCs w:val="24"/>
        </w:rPr>
        <w:t>s different. Cities generally go</w:t>
      </w:r>
      <w:r>
        <w:rPr>
          <w:rFonts w:ascii="Garamond" w:hAnsi="Garamond"/>
          <w:sz w:val="24"/>
          <w:szCs w:val="24"/>
        </w:rPr>
        <w:t xml:space="preserve">t bigger, though with some downswings. </w:t>
      </w:r>
      <w:r w:rsidR="00BF6CE9">
        <w:rPr>
          <w:rFonts w:ascii="Garamond" w:hAnsi="Garamond"/>
          <w:sz w:val="24"/>
          <w:szCs w:val="24"/>
        </w:rPr>
        <w:t>This confirms the .60</w:t>
      </w:r>
      <w:r w:rsidR="0002481A">
        <w:rPr>
          <w:rFonts w:ascii="Garamond" w:hAnsi="Garamond"/>
          <w:sz w:val="24"/>
          <w:szCs w:val="24"/>
        </w:rPr>
        <w:t xml:space="preserve"> correlation between year and city size in Table 1. </w:t>
      </w:r>
      <w:r w:rsidR="00F735E2">
        <w:rPr>
          <w:rFonts w:ascii="Garamond" w:hAnsi="Garamond"/>
          <w:sz w:val="24"/>
          <w:szCs w:val="24"/>
        </w:rPr>
        <w:t>The trajectories of city and state sizes show</w:t>
      </w:r>
      <w:r w:rsidR="00BF6CE9">
        <w:rPr>
          <w:rFonts w:ascii="Garamond" w:hAnsi="Garamond"/>
          <w:sz w:val="24"/>
          <w:szCs w:val="24"/>
        </w:rPr>
        <w:t>s a positive relationship (r= ..51</w:t>
      </w:r>
      <w:r w:rsidR="00F735E2">
        <w:rPr>
          <w:rFonts w:ascii="Garamond" w:hAnsi="Garamond"/>
          <w:sz w:val="24"/>
          <w:szCs w:val="24"/>
        </w:rPr>
        <w:t>) but there are also some important divergences.</w:t>
      </w:r>
      <w:r w:rsidR="00BF6CE9">
        <w:rPr>
          <w:rFonts w:ascii="Garamond" w:hAnsi="Garamond"/>
          <w:sz w:val="24"/>
          <w:szCs w:val="24"/>
        </w:rPr>
        <w:t xml:space="preserve"> City size seems to lead and state size to follow in the period from 2200 to 1800 BCE. </w:t>
      </w:r>
      <w:r w:rsidR="00F735E2">
        <w:rPr>
          <w:rFonts w:ascii="Garamond" w:hAnsi="Garamond"/>
          <w:sz w:val="24"/>
          <w:szCs w:val="24"/>
        </w:rPr>
        <w:t xml:space="preserve"> Power configuration drops to non-polarity during what appears to be a recovery of the size of the </w:t>
      </w:r>
      <w:r w:rsidR="00BF6CE9">
        <w:rPr>
          <w:rFonts w:ascii="Garamond" w:hAnsi="Garamond"/>
          <w:sz w:val="24"/>
          <w:szCs w:val="24"/>
        </w:rPr>
        <w:t xml:space="preserve">largest </w:t>
      </w:r>
      <w:r w:rsidR="00F735E2">
        <w:rPr>
          <w:rFonts w:ascii="Garamond" w:hAnsi="Garamond"/>
          <w:sz w:val="24"/>
          <w:szCs w:val="24"/>
        </w:rPr>
        <w:t xml:space="preserve">Egyptian polity. The dips in polarity seem to follow declines in the size of the largest polity. </w:t>
      </w:r>
      <w:r w:rsidR="00FE5908">
        <w:rPr>
          <w:rFonts w:ascii="Garamond" w:hAnsi="Garamond"/>
          <w:sz w:val="24"/>
          <w:szCs w:val="24"/>
        </w:rPr>
        <w:t>Both the city and the polity corre</w:t>
      </w:r>
      <w:r w:rsidR="00BF6CE9">
        <w:rPr>
          <w:rFonts w:ascii="Garamond" w:hAnsi="Garamond"/>
          <w:sz w:val="24"/>
          <w:szCs w:val="24"/>
        </w:rPr>
        <w:t xml:space="preserve">lations with year are positive, indicating the usual pattern of a long term upward trend. </w:t>
      </w:r>
    </w:p>
    <w:p w:rsidR="00F735E2" w:rsidRDefault="00586C44" w:rsidP="00597B6F">
      <w:pPr>
        <w:rPr>
          <w:rFonts w:ascii="Garamond" w:hAnsi="Garamond"/>
          <w:sz w:val="24"/>
          <w:szCs w:val="24"/>
        </w:rPr>
      </w:pPr>
      <w:r w:rsidRPr="00586C44">
        <w:rPr>
          <w:rFonts w:ascii="Garamond" w:hAnsi="Garamond"/>
          <w:noProof/>
          <w:sz w:val="24"/>
          <w:szCs w:val="24"/>
          <w:lang w:eastAsia="en-US"/>
        </w:rPr>
        <w:lastRenderedPageBreak/>
        <mc:AlternateContent>
          <mc:Choice Requires="wps">
            <w:drawing>
              <wp:anchor distT="0" distB="0" distL="114300" distR="114300" simplePos="0" relativeHeight="251664384" behindDoc="0" locked="0" layoutInCell="1" allowOverlap="1" wp14:anchorId="2FE91577" wp14:editId="1BE94EF3">
                <wp:simplePos x="0" y="0"/>
                <wp:positionH relativeFrom="column">
                  <wp:posOffset>933450</wp:posOffset>
                </wp:positionH>
                <wp:positionV relativeFrom="paragraph">
                  <wp:posOffset>152400</wp:posOffset>
                </wp:positionV>
                <wp:extent cx="1171575" cy="1403985"/>
                <wp:effectExtent l="0" t="0" r="28575"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headEnd/>
                          <a:tailEnd/>
                        </a:ln>
                      </wps:spPr>
                      <wps:txbx>
                        <w:txbxContent>
                          <w:p w:rsidR="00B10D9A" w:rsidRDefault="00B10D9A">
                            <w:proofErr w:type="spellStart"/>
                            <w:r>
                              <w:t>Mauryan</w:t>
                            </w:r>
                            <w:proofErr w:type="spellEnd"/>
                            <w:r>
                              <w:t xml:space="preserve"> Empire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3.5pt;margin-top:12pt;width:92.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">
                <v:textbox style="mso-fit-shape-to-text:t">
                  <w:txbxContent>
                    <w:p w:rsidR="00B10D9A" w:rsidRDefault="00B10D9A">
                      <w:proofErr w:type="spellStart"/>
                      <w:r>
                        <w:t>Mauryan</w:t>
                      </w:r>
                      <w:proofErr w:type="spellEnd"/>
                      <w:r>
                        <w:t xml:space="preserve"> Empire</w:t>
                      </w:r>
                    </w:p>
                  </w:txbxContent>
                </v:textbox>
              </v:shape>
            </w:pict>
          </mc:Fallback>
        </mc:AlternateContent>
      </w:r>
      <w:r>
        <w:rPr>
          <w:noProof/>
          <w:lang w:eastAsia="en-US"/>
        </w:rPr>
        <w:drawing>
          <wp:inline distT="0" distB="0" distL="0" distR="0" wp14:anchorId="60867626" wp14:editId="216F80A6">
            <wp:extent cx="5943600" cy="4318635"/>
            <wp:effectExtent l="0" t="0" r="19050" b="247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35E2" w:rsidRPr="00597B6F" w:rsidRDefault="00F735E2" w:rsidP="00652F9B">
      <w:pPr>
        <w:pStyle w:val="Caption"/>
        <w:spacing w:before="0" w:after="0"/>
      </w:pPr>
      <w:r>
        <w:t xml:space="preserve">Figure </w:t>
      </w:r>
      <w:r w:rsidR="007C0ED7">
        <w:t>4</w:t>
      </w:r>
      <w:r>
        <w:t xml:space="preserve">: </w:t>
      </w:r>
      <w:r w:rsidR="00B4348D">
        <w:t>South Asia</w:t>
      </w:r>
      <w:r>
        <w:t xml:space="preserve"> PMN, 400 BCE</w:t>
      </w:r>
      <w:r w:rsidR="00FE5908">
        <w:t xml:space="preserve">-1000 </w:t>
      </w:r>
      <w:r>
        <w:t xml:space="preserve">CE </w:t>
      </w:r>
    </w:p>
    <w:p w:rsidR="00F735E2" w:rsidRDefault="00FE5908" w:rsidP="00652F9B">
      <w:pPr>
        <w:rPr>
          <w:rFonts w:ascii="Garamond" w:hAnsi="Garamond"/>
          <w:sz w:val="24"/>
          <w:szCs w:val="24"/>
        </w:rPr>
      </w:pPr>
      <w:r>
        <w:rPr>
          <w:rFonts w:ascii="Garamond" w:hAnsi="Garamond"/>
          <w:sz w:val="24"/>
          <w:szCs w:val="24"/>
        </w:rPr>
        <w:t xml:space="preserve">The </w:t>
      </w:r>
      <w:r w:rsidR="00B4348D">
        <w:rPr>
          <w:rFonts w:ascii="Garamond" w:hAnsi="Garamond"/>
          <w:sz w:val="24"/>
          <w:szCs w:val="24"/>
        </w:rPr>
        <w:t>South Asia</w:t>
      </w:r>
      <w:r>
        <w:rPr>
          <w:rFonts w:ascii="Garamond" w:hAnsi="Garamond"/>
          <w:sz w:val="24"/>
          <w:szCs w:val="24"/>
        </w:rPr>
        <w:t xml:space="preserve"> PMN displays some peculiarities noted elsewhere (Chase-Dunn, Manning and Hall 2000). The huge size of the </w:t>
      </w:r>
      <w:proofErr w:type="spellStart"/>
      <w:r>
        <w:rPr>
          <w:rFonts w:ascii="Garamond" w:hAnsi="Garamond"/>
          <w:sz w:val="24"/>
          <w:szCs w:val="24"/>
        </w:rPr>
        <w:t>Mauryan</w:t>
      </w:r>
      <w:proofErr w:type="spellEnd"/>
      <w:r>
        <w:rPr>
          <w:rFonts w:ascii="Garamond" w:hAnsi="Garamond"/>
          <w:sz w:val="24"/>
          <w:szCs w:val="24"/>
        </w:rPr>
        <w:t xml:space="preserve"> Empire was not repeated in later polity size upswings. Indeed, the correlation between po</w:t>
      </w:r>
      <w:r w:rsidR="00C779D3">
        <w:rPr>
          <w:rFonts w:ascii="Garamond" w:hAnsi="Garamond"/>
          <w:sz w:val="24"/>
          <w:szCs w:val="24"/>
        </w:rPr>
        <w:t>lity and year in Table 1 is -.36</w:t>
      </w:r>
      <w:r>
        <w:rPr>
          <w:rFonts w:ascii="Garamond" w:hAnsi="Garamond"/>
          <w:sz w:val="24"/>
          <w:szCs w:val="24"/>
        </w:rPr>
        <w:t xml:space="preserve">, and the story is the same for city sizes (-.55). Nevertheless, the relationship between city and </w:t>
      </w:r>
      <w:r w:rsidR="00C779D3">
        <w:rPr>
          <w:rFonts w:ascii="Garamond" w:hAnsi="Garamond"/>
          <w:sz w:val="24"/>
          <w:szCs w:val="24"/>
        </w:rPr>
        <w:t>polity sizes in positive</w:t>
      </w:r>
      <w:r w:rsidR="00C1198D">
        <w:rPr>
          <w:rFonts w:ascii="Garamond" w:hAnsi="Garamond"/>
          <w:sz w:val="24"/>
          <w:szCs w:val="24"/>
        </w:rPr>
        <w:t xml:space="preserve"> (.28) which is obviously not due</w:t>
      </w:r>
      <w:r w:rsidR="00C779D3">
        <w:rPr>
          <w:rFonts w:ascii="Garamond" w:hAnsi="Garamond"/>
          <w:sz w:val="24"/>
          <w:szCs w:val="24"/>
        </w:rPr>
        <w:t xml:space="preserve"> to a long-term upward trend.</w:t>
      </w:r>
      <w:r>
        <w:rPr>
          <w:rFonts w:ascii="Garamond" w:hAnsi="Garamond"/>
          <w:sz w:val="24"/>
          <w:szCs w:val="24"/>
        </w:rPr>
        <w:t xml:space="preserve"> They both go down and the swings are somewhat contemporaneous. </w:t>
      </w:r>
      <w:r w:rsidR="00C82CAD">
        <w:rPr>
          <w:rFonts w:ascii="Garamond" w:hAnsi="Garamond"/>
          <w:sz w:val="24"/>
          <w:szCs w:val="24"/>
        </w:rPr>
        <w:t xml:space="preserve">The power </w:t>
      </w:r>
      <w:r w:rsidR="006501BB">
        <w:rPr>
          <w:rFonts w:ascii="Garamond" w:hAnsi="Garamond"/>
          <w:sz w:val="24"/>
          <w:szCs w:val="24"/>
        </w:rPr>
        <w:t>configuration</w:t>
      </w:r>
      <w:r w:rsidR="00C82CAD">
        <w:rPr>
          <w:rFonts w:ascii="Garamond" w:hAnsi="Garamond"/>
          <w:sz w:val="24"/>
          <w:szCs w:val="24"/>
        </w:rPr>
        <w:t xml:space="preserve"> variable swings the gamut from non-polar</w:t>
      </w:r>
      <w:r w:rsidR="00C779D3">
        <w:rPr>
          <w:rFonts w:ascii="Garamond" w:hAnsi="Garamond"/>
          <w:sz w:val="24"/>
          <w:szCs w:val="24"/>
        </w:rPr>
        <w:t xml:space="preserve"> to empire and is correlated .27</w:t>
      </w:r>
      <w:r w:rsidR="00C82CAD">
        <w:rPr>
          <w:rFonts w:ascii="Garamond" w:hAnsi="Garamond"/>
          <w:sz w:val="24"/>
          <w:szCs w:val="24"/>
        </w:rPr>
        <w:t xml:space="preserve"> with the size of the large</w:t>
      </w:r>
      <w:r w:rsidR="00C1198D">
        <w:rPr>
          <w:rFonts w:ascii="Garamond" w:hAnsi="Garamond"/>
          <w:sz w:val="24"/>
          <w:szCs w:val="24"/>
        </w:rPr>
        <w:t xml:space="preserve">st polity.  The </w:t>
      </w:r>
      <w:proofErr w:type="spellStart"/>
      <w:r w:rsidR="00C1198D">
        <w:rPr>
          <w:rFonts w:ascii="Garamond" w:hAnsi="Garamond"/>
          <w:sz w:val="24"/>
          <w:szCs w:val="24"/>
        </w:rPr>
        <w:t>Mauryan</w:t>
      </w:r>
      <w:proofErr w:type="spellEnd"/>
      <w:r w:rsidR="00C1198D">
        <w:rPr>
          <w:rFonts w:ascii="Garamond" w:hAnsi="Garamond"/>
          <w:sz w:val="24"/>
          <w:szCs w:val="24"/>
        </w:rPr>
        <w:t xml:space="preserve"> Empire wa</w:t>
      </w:r>
      <w:r w:rsidR="00C82CAD">
        <w:rPr>
          <w:rFonts w:ascii="Garamond" w:hAnsi="Garamond"/>
          <w:sz w:val="24"/>
          <w:szCs w:val="24"/>
        </w:rPr>
        <w:t xml:space="preserve">s a peak for </w:t>
      </w:r>
      <w:r w:rsidR="003B3043">
        <w:rPr>
          <w:rFonts w:ascii="Garamond" w:hAnsi="Garamond"/>
          <w:sz w:val="24"/>
          <w:szCs w:val="24"/>
        </w:rPr>
        <w:t xml:space="preserve">both power </w:t>
      </w:r>
      <w:r w:rsidR="006501BB">
        <w:rPr>
          <w:rFonts w:ascii="Garamond" w:hAnsi="Garamond"/>
          <w:sz w:val="24"/>
          <w:szCs w:val="24"/>
        </w:rPr>
        <w:t>configuration</w:t>
      </w:r>
      <w:r w:rsidR="003B3043">
        <w:rPr>
          <w:rFonts w:ascii="Garamond" w:hAnsi="Garamond"/>
          <w:sz w:val="24"/>
          <w:szCs w:val="24"/>
        </w:rPr>
        <w:t xml:space="preserve"> and polity size and just follows the largest peak of city sizes in the </w:t>
      </w:r>
      <w:r w:rsidR="00B4348D">
        <w:rPr>
          <w:rFonts w:ascii="Garamond" w:hAnsi="Garamond"/>
          <w:sz w:val="24"/>
          <w:szCs w:val="24"/>
        </w:rPr>
        <w:t>South Asia</w:t>
      </w:r>
      <w:r w:rsidR="003B3043">
        <w:rPr>
          <w:rFonts w:ascii="Garamond" w:hAnsi="Garamond"/>
          <w:sz w:val="24"/>
          <w:szCs w:val="24"/>
        </w:rPr>
        <w:t xml:space="preserve"> PMN</w:t>
      </w:r>
      <w:r w:rsidR="00C82CAD">
        <w:rPr>
          <w:rFonts w:ascii="Garamond" w:hAnsi="Garamond"/>
          <w:sz w:val="24"/>
          <w:szCs w:val="24"/>
        </w:rPr>
        <w:t>.</w:t>
      </w:r>
    </w:p>
    <w:p w:rsidR="006C77EC" w:rsidRPr="00597B6F" w:rsidRDefault="006C77EC" w:rsidP="00597B6F">
      <w:pPr>
        <w:rPr>
          <w:rFonts w:ascii="Garamond" w:hAnsi="Garamond"/>
          <w:sz w:val="24"/>
          <w:szCs w:val="24"/>
        </w:rPr>
      </w:pPr>
    </w:p>
    <w:p w:rsidR="005525A7" w:rsidRDefault="005525A7" w:rsidP="00652F9B">
      <w:pPr>
        <w:pStyle w:val="Caption"/>
        <w:spacing w:before="0" w:after="0"/>
      </w:pPr>
    </w:p>
    <w:p w:rsidR="005525A7" w:rsidRDefault="005525A7" w:rsidP="00652F9B">
      <w:pPr>
        <w:pStyle w:val="Caption"/>
        <w:spacing w:before="0" w:after="0"/>
      </w:pPr>
    </w:p>
    <w:p w:rsidR="005525A7" w:rsidRDefault="005525A7" w:rsidP="00652F9B">
      <w:pPr>
        <w:pStyle w:val="Caption"/>
        <w:spacing w:before="0" w:after="0"/>
      </w:pPr>
    </w:p>
    <w:p w:rsidR="005525A7" w:rsidRDefault="00546074" w:rsidP="00652F9B">
      <w:pPr>
        <w:pStyle w:val="Caption"/>
        <w:spacing w:before="0" w:after="0"/>
      </w:pPr>
      <w:r>
        <w:rPr>
          <w:noProof/>
        </w:rPr>
        <w:lastRenderedPageBreak/>
        <mc:AlternateContent>
          <mc:Choice Requires="wps">
            <w:drawing>
              <wp:anchor distT="0" distB="0" distL="114300" distR="114300" simplePos="0" relativeHeight="251666432" behindDoc="0" locked="0" layoutInCell="1" allowOverlap="1" wp14:anchorId="719EF218" wp14:editId="79BA6EC3">
                <wp:simplePos x="0" y="0"/>
                <wp:positionH relativeFrom="column">
                  <wp:posOffset>3924300</wp:posOffset>
                </wp:positionH>
                <wp:positionV relativeFrom="paragraph">
                  <wp:posOffset>85725</wp:posOffset>
                </wp:positionV>
                <wp:extent cx="1190625" cy="1403985"/>
                <wp:effectExtent l="0" t="0" r="28575"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3985"/>
                        </a:xfrm>
                        <a:prstGeom prst="rect">
                          <a:avLst/>
                        </a:prstGeom>
                        <a:solidFill>
                          <a:srgbClr val="FFFFFF"/>
                        </a:solidFill>
                        <a:ln w="9525">
                          <a:solidFill>
                            <a:srgbClr val="000000"/>
                          </a:solidFill>
                          <a:miter lim="800000"/>
                          <a:headEnd/>
                          <a:tailEnd/>
                        </a:ln>
                      </wps:spPr>
                      <wps:txbx>
                        <w:txbxContent>
                          <w:p w:rsidR="00B10D9A" w:rsidRDefault="00B10D9A">
                            <w:r>
                              <w:t>Mongol Empire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9pt;margin-top:6.75pt;width:93.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">
                <v:textbox style="mso-fit-shape-to-text:t">
                  <w:txbxContent>
                    <w:p w:rsidR="00B10D9A" w:rsidRDefault="00B10D9A">
                      <w:r>
                        <w:t>Mongol Empire</w:t>
                      </w:r>
                    </w:p>
                  </w:txbxContent>
                </v:textbox>
              </v:shape>
            </w:pict>
          </mc:Fallback>
        </mc:AlternateContent>
      </w:r>
      <w:r w:rsidR="005525A7">
        <w:rPr>
          <w:noProof/>
        </w:rPr>
        <w:drawing>
          <wp:inline distT="0" distB="0" distL="0" distR="0" wp14:anchorId="00382C33" wp14:editId="06044FA9">
            <wp:extent cx="5943600" cy="4318635"/>
            <wp:effectExtent l="0" t="0" r="19050" b="247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77EC" w:rsidRPr="00597B6F" w:rsidRDefault="006C77EC" w:rsidP="00652F9B">
      <w:pPr>
        <w:pStyle w:val="Caption"/>
        <w:spacing w:before="0" w:after="0"/>
      </w:pPr>
      <w:r>
        <w:t xml:space="preserve">Figure </w:t>
      </w:r>
      <w:r w:rsidR="007C0ED7">
        <w:t>5</w:t>
      </w:r>
      <w:r>
        <w:t xml:space="preserve">: East Asian PMN, 1000 BCE-1800 </w:t>
      </w:r>
    </w:p>
    <w:p w:rsidR="006C77EC" w:rsidRDefault="00C24C20" w:rsidP="00652F9B">
      <w:pPr>
        <w:rPr>
          <w:rFonts w:ascii="Garamond" w:hAnsi="Garamond" w:cs="Arial"/>
          <w:sz w:val="24"/>
          <w:szCs w:val="24"/>
        </w:rPr>
      </w:pPr>
      <w:r>
        <w:rPr>
          <w:rFonts w:ascii="Garamond" w:hAnsi="Garamond" w:cs="Arial"/>
          <w:sz w:val="24"/>
          <w:szCs w:val="24"/>
        </w:rPr>
        <w:t xml:space="preserve">The East Asian PMN </w:t>
      </w:r>
      <w:r w:rsidR="0044518D">
        <w:rPr>
          <w:rFonts w:ascii="Garamond" w:hAnsi="Garamond" w:cs="Arial"/>
          <w:sz w:val="24"/>
          <w:szCs w:val="24"/>
        </w:rPr>
        <w:t xml:space="preserve">graph contains 57 time points to display change in our three variables from 1000 BCE until 1800 CE. All of the correlations in Table 1 are positive. The only one that is not very positive is that between power </w:t>
      </w:r>
      <w:r w:rsidR="006501BB">
        <w:rPr>
          <w:rFonts w:ascii="Garamond" w:hAnsi="Garamond" w:cs="Arial"/>
          <w:sz w:val="24"/>
          <w:szCs w:val="24"/>
        </w:rPr>
        <w:t>configuration</w:t>
      </w:r>
      <w:r w:rsidR="00F524AF">
        <w:rPr>
          <w:rFonts w:ascii="Garamond" w:hAnsi="Garamond" w:cs="Arial"/>
          <w:sz w:val="24"/>
          <w:szCs w:val="24"/>
        </w:rPr>
        <w:t xml:space="preserve"> and city size (.07</w:t>
      </w:r>
      <w:r w:rsidR="0044518D">
        <w:rPr>
          <w:rFonts w:ascii="Garamond" w:hAnsi="Garamond" w:cs="Arial"/>
          <w:sz w:val="24"/>
          <w:szCs w:val="24"/>
        </w:rPr>
        <w:t xml:space="preserve">). The </w:t>
      </w:r>
      <w:r w:rsidR="00C1198D">
        <w:rPr>
          <w:rFonts w:ascii="Garamond" w:hAnsi="Garamond" w:cs="Arial"/>
          <w:sz w:val="24"/>
          <w:szCs w:val="24"/>
        </w:rPr>
        <w:t xml:space="preserve">bivariate </w:t>
      </w:r>
      <w:r w:rsidR="0044518D">
        <w:rPr>
          <w:rFonts w:ascii="Garamond" w:hAnsi="Garamond" w:cs="Arial"/>
          <w:sz w:val="24"/>
          <w:szCs w:val="24"/>
        </w:rPr>
        <w:t>correlation bet</w:t>
      </w:r>
      <w:r w:rsidR="00F524AF">
        <w:rPr>
          <w:rFonts w:ascii="Garamond" w:hAnsi="Garamond" w:cs="Arial"/>
          <w:sz w:val="24"/>
          <w:szCs w:val="24"/>
        </w:rPr>
        <w:t>ween city and polity size is .49</w:t>
      </w:r>
      <w:r w:rsidR="0044518D">
        <w:rPr>
          <w:rFonts w:ascii="Garamond" w:hAnsi="Garamond" w:cs="Arial"/>
          <w:sz w:val="24"/>
          <w:szCs w:val="24"/>
        </w:rPr>
        <w:t>. The Mongol Empire, which was an important player in both the East Asian and the Central PMNs</w:t>
      </w:r>
      <w:r w:rsidR="00F524AF">
        <w:rPr>
          <w:rFonts w:ascii="Garamond" w:hAnsi="Garamond" w:cs="Arial"/>
          <w:sz w:val="24"/>
          <w:szCs w:val="24"/>
        </w:rPr>
        <w:t>,</w:t>
      </w:r>
      <w:r w:rsidR="0044518D">
        <w:rPr>
          <w:rFonts w:ascii="Garamond" w:hAnsi="Garamond" w:cs="Arial"/>
          <w:sz w:val="24"/>
          <w:szCs w:val="24"/>
        </w:rPr>
        <w:t xml:space="preserve"> shows a peak for </w:t>
      </w:r>
      <w:r w:rsidR="00F524AF">
        <w:rPr>
          <w:rFonts w:ascii="Garamond" w:hAnsi="Garamond" w:cs="Arial"/>
          <w:sz w:val="24"/>
          <w:szCs w:val="24"/>
        </w:rPr>
        <w:t xml:space="preserve">both </w:t>
      </w:r>
      <w:proofErr w:type="spellStart"/>
      <w:r w:rsidR="00F524AF">
        <w:rPr>
          <w:rFonts w:ascii="Garamond" w:hAnsi="Garamond" w:cs="Arial"/>
          <w:sz w:val="24"/>
          <w:szCs w:val="24"/>
        </w:rPr>
        <w:t>powcon</w:t>
      </w:r>
      <w:proofErr w:type="spellEnd"/>
      <w:r w:rsidR="00F524AF">
        <w:rPr>
          <w:rFonts w:ascii="Garamond" w:hAnsi="Garamond" w:cs="Arial"/>
          <w:sz w:val="24"/>
          <w:szCs w:val="24"/>
        </w:rPr>
        <w:t xml:space="preserve"> and the size of the largest polity</w:t>
      </w:r>
      <w:r w:rsidR="007C0ED7">
        <w:rPr>
          <w:rFonts w:ascii="Garamond" w:hAnsi="Garamond" w:cs="Arial"/>
          <w:sz w:val="24"/>
          <w:szCs w:val="24"/>
        </w:rPr>
        <w:t xml:space="preserve"> in Figure 5</w:t>
      </w:r>
      <w:r w:rsidR="0044518D">
        <w:rPr>
          <w:rFonts w:ascii="Garamond" w:hAnsi="Garamond" w:cs="Arial"/>
          <w:sz w:val="24"/>
          <w:szCs w:val="24"/>
        </w:rPr>
        <w:t>.</w:t>
      </w:r>
      <w:r w:rsidR="00F7545B">
        <w:rPr>
          <w:rStyle w:val="FootnoteReference"/>
          <w:rFonts w:ascii="Garamond" w:hAnsi="Garamond" w:cs="Arial"/>
          <w:sz w:val="24"/>
          <w:szCs w:val="24"/>
        </w:rPr>
        <w:footnoteReference w:id="18"/>
      </w:r>
      <w:r w:rsidR="0044518D">
        <w:rPr>
          <w:rFonts w:ascii="Garamond" w:hAnsi="Garamond" w:cs="Arial"/>
          <w:sz w:val="24"/>
          <w:szCs w:val="24"/>
        </w:rPr>
        <w:t xml:space="preserve"> The correlation between power </w:t>
      </w:r>
      <w:r w:rsidR="006501BB">
        <w:rPr>
          <w:rFonts w:ascii="Garamond" w:hAnsi="Garamond" w:cs="Arial"/>
          <w:sz w:val="24"/>
          <w:szCs w:val="24"/>
        </w:rPr>
        <w:t>configuration</w:t>
      </w:r>
      <w:r w:rsidR="0044518D">
        <w:rPr>
          <w:rFonts w:ascii="Garamond" w:hAnsi="Garamond" w:cs="Arial"/>
          <w:sz w:val="24"/>
          <w:szCs w:val="24"/>
        </w:rPr>
        <w:t xml:space="preserve"> and the s</w:t>
      </w:r>
      <w:r w:rsidR="00F524AF">
        <w:rPr>
          <w:rFonts w:ascii="Garamond" w:hAnsi="Garamond" w:cs="Arial"/>
          <w:sz w:val="24"/>
          <w:szCs w:val="24"/>
        </w:rPr>
        <w:t>ize of the largest polity in  Table 1 is .43</w:t>
      </w:r>
      <w:r w:rsidR="0044518D">
        <w:rPr>
          <w:rFonts w:ascii="Garamond" w:hAnsi="Garamond" w:cs="Arial"/>
          <w:sz w:val="24"/>
          <w:szCs w:val="24"/>
        </w:rPr>
        <w:t>.  Both the trend corr</w:t>
      </w:r>
      <w:r w:rsidR="00F524AF">
        <w:rPr>
          <w:rFonts w:ascii="Garamond" w:hAnsi="Garamond" w:cs="Arial"/>
          <w:sz w:val="24"/>
          <w:szCs w:val="24"/>
        </w:rPr>
        <w:t>elations are high (city/year .80 and state/year .59</w:t>
      </w:r>
      <w:r w:rsidR="0044518D">
        <w:rPr>
          <w:rFonts w:ascii="Garamond" w:hAnsi="Garamond" w:cs="Arial"/>
          <w:sz w:val="24"/>
          <w:szCs w:val="24"/>
        </w:rPr>
        <w:t xml:space="preserve">) so </w:t>
      </w:r>
      <w:proofErr w:type="spellStart"/>
      <w:r w:rsidR="0044518D">
        <w:rPr>
          <w:rFonts w:ascii="Garamond" w:hAnsi="Garamond" w:cs="Arial"/>
          <w:sz w:val="24"/>
          <w:szCs w:val="24"/>
        </w:rPr>
        <w:t>detrending</w:t>
      </w:r>
      <w:proofErr w:type="spellEnd"/>
      <w:r w:rsidR="0044518D">
        <w:rPr>
          <w:rFonts w:ascii="Garamond" w:hAnsi="Garamond" w:cs="Arial"/>
          <w:sz w:val="24"/>
          <w:szCs w:val="24"/>
        </w:rPr>
        <w:t xml:space="preserve"> is needed to see what happens with the state/city correlation. </w:t>
      </w:r>
    </w:p>
    <w:p w:rsidR="00F10B5E" w:rsidRPr="00C24C20" w:rsidRDefault="002E334D" w:rsidP="005A1AC8">
      <w:pPr>
        <w:jc w:val="center"/>
        <w:rPr>
          <w:rFonts w:ascii="Garamond" w:hAnsi="Garamond" w:cs="Arial"/>
          <w:sz w:val="24"/>
          <w:szCs w:val="24"/>
        </w:rPr>
      </w:pPr>
      <w:r w:rsidRPr="002E334D">
        <w:rPr>
          <w:rFonts w:ascii="Garamond" w:hAnsi="Garamond" w:cs="Arial"/>
          <w:noProof/>
          <w:sz w:val="24"/>
          <w:szCs w:val="24"/>
          <w:lang w:eastAsia="en-US"/>
        </w:rPr>
        <w:lastRenderedPageBreak/>
        <mc:AlternateContent>
          <mc:Choice Requires="wps">
            <w:drawing>
              <wp:anchor distT="0" distB="0" distL="114300" distR="114300" simplePos="0" relativeHeight="251672576" behindDoc="0" locked="0" layoutInCell="1" allowOverlap="1" wp14:anchorId="2F799F40" wp14:editId="67DF216E">
                <wp:simplePos x="0" y="0"/>
                <wp:positionH relativeFrom="column">
                  <wp:posOffset>3325545</wp:posOffset>
                </wp:positionH>
                <wp:positionV relativeFrom="paragraph">
                  <wp:posOffset>1692998</wp:posOffset>
                </wp:positionV>
                <wp:extent cx="1140736" cy="271604"/>
                <wp:effectExtent l="0" t="0" r="21590" b="146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736" cy="271604"/>
                        </a:xfrm>
                        <a:prstGeom prst="rect">
                          <a:avLst/>
                        </a:prstGeom>
                        <a:solidFill>
                          <a:srgbClr val="FFFFFF"/>
                        </a:solidFill>
                        <a:ln w="9525">
                          <a:solidFill>
                            <a:srgbClr val="000000"/>
                          </a:solidFill>
                          <a:miter lim="800000"/>
                          <a:headEnd/>
                          <a:tailEnd/>
                        </a:ln>
                      </wps:spPr>
                      <wps:txbx>
                        <w:txbxContent>
                          <w:p w:rsidR="00B10D9A" w:rsidRDefault="00B10D9A">
                            <w:r>
                              <w:t>Abbasid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1.85pt;margin-top:133.3pt;width:89.8pt;height:2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">
                <v:textbox>
                  <w:txbxContent>
                    <w:p w:rsidR="00B10D9A" w:rsidRDefault="00B10D9A">
                      <w:r>
                        <w:t>Abbasid Empire</w:t>
                      </w:r>
                    </w:p>
                  </w:txbxContent>
                </v:textbox>
              </v:shape>
            </w:pict>
          </mc:Fallback>
        </mc:AlternateContent>
      </w:r>
      <w:r w:rsidR="00575DEF" w:rsidRPr="00575DEF">
        <w:rPr>
          <w:rFonts w:ascii="Garamond" w:hAnsi="Garamond" w:cs="Arial"/>
          <w:noProof/>
          <w:sz w:val="24"/>
          <w:szCs w:val="24"/>
          <w:lang w:eastAsia="en-US"/>
        </w:rPr>
        <mc:AlternateContent>
          <mc:Choice Requires="wps">
            <w:drawing>
              <wp:anchor distT="0" distB="0" distL="114300" distR="114300" simplePos="0" relativeHeight="251670528" behindDoc="0" locked="0" layoutInCell="1" allowOverlap="1" wp14:anchorId="7612683A" wp14:editId="3B356F28">
                <wp:simplePos x="0" y="0"/>
                <wp:positionH relativeFrom="column">
                  <wp:posOffset>5022315</wp:posOffset>
                </wp:positionH>
                <wp:positionV relativeFrom="paragraph">
                  <wp:posOffset>-45268</wp:posOffset>
                </wp:positionV>
                <wp:extent cx="995881" cy="1403985"/>
                <wp:effectExtent l="0" t="0" r="1397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881" cy="1403985"/>
                        </a:xfrm>
                        <a:prstGeom prst="rect">
                          <a:avLst/>
                        </a:prstGeom>
                        <a:solidFill>
                          <a:srgbClr val="FFFFFF"/>
                        </a:solidFill>
                        <a:ln w="9525">
                          <a:solidFill>
                            <a:srgbClr val="000000"/>
                          </a:solidFill>
                          <a:miter lim="800000"/>
                          <a:headEnd/>
                          <a:tailEnd/>
                        </a:ln>
                      </wps:spPr>
                      <wps:txbx>
                        <w:txbxContent>
                          <w:p w:rsidR="00B10D9A" w:rsidRDefault="00B10D9A">
                            <w:r>
                              <w:t>British Empire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95.45pt;margin-top:-3.55pt;width:78.4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">
                <v:textbox style="mso-fit-shape-to-text:t">
                  <w:txbxContent>
                    <w:p w:rsidR="00B10D9A" w:rsidRDefault="00B10D9A">
                      <w:r>
                        <w:t>British Empire</w:t>
                      </w:r>
                    </w:p>
                  </w:txbxContent>
                </v:textbox>
              </v:shape>
            </w:pict>
          </mc:Fallback>
        </mc:AlternateContent>
      </w:r>
      <w:r w:rsidR="00575DEF" w:rsidRPr="00575DEF">
        <w:rPr>
          <w:rFonts w:ascii="Garamond" w:hAnsi="Garamond" w:cs="Arial"/>
          <w:noProof/>
          <w:sz w:val="24"/>
          <w:szCs w:val="24"/>
          <w:lang w:eastAsia="en-US"/>
        </w:rPr>
        <mc:AlternateContent>
          <mc:Choice Requires="wps">
            <w:drawing>
              <wp:anchor distT="0" distB="0" distL="114300" distR="114300" simplePos="0" relativeHeight="251668480" behindDoc="0" locked="0" layoutInCell="1" allowOverlap="1" wp14:anchorId="0BF63590" wp14:editId="7F719B97">
                <wp:simplePos x="0" y="0"/>
                <wp:positionH relativeFrom="column">
                  <wp:posOffset>4032187</wp:posOffset>
                </wp:positionH>
                <wp:positionV relativeFrom="paragraph">
                  <wp:posOffset>380245</wp:posOffset>
                </wp:positionV>
                <wp:extent cx="1131683" cy="1403985"/>
                <wp:effectExtent l="0" t="0" r="11430"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683" cy="1403985"/>
                        </a:xfrm>
                        <a:prstGeom prst="rect">
                          <a:avLst/>
                        </a:prstGeom>
                        <a:solidFill>
                          <a:srgbClr val="FFFFFF"/>
                        </a:solidFill>
                        <a:ln w="9525">
                          <a:solidFill>
                            <a:srgbClr val="000000"/>
                          </a:solidFill>
                          <a:miter lim="800000"/>
                          <a:headEnd/>
                          <a:tailEnd/>
                        </a:ln>
                      </wps:spPr>
                      <wps:txbx>
                        <w:txbxContent>
                          <w:p w:rsidR="00B10D9A" w:rsidRDefault="00B10D9A">
                            <w:r>
                              <w:t>Mongol Empire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7.5pt;margin-top:29.95pt;width:89.1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">
                <v:textbox style="mso-fit-shape-to-text:t">
                  <w:txbxContent>
                    <w:p w:rsidR="00B10D9A" w:rsidRDefault="00B10D9A">
                      <w:r>
                        <w:t>Mongol Empire</w:t>
                      </w:r>
                    </w:p>
                  </w:txbxContent>
                </v:textbox>
              </v:shape>
            </w:pict>
          </mc:Fallback>
        </mc:AlternateContent>
      </w:r>
      <w:r w:rsidR="00C560FA">
        <w:rPr>
          <w:noProof/>
          <w:lang w:eastAsia="en-US"/>
        </w:rPr>
        <w:drawing>
          <wp:inline distT="0" distB="0" distL="0" distR="0" wp14:anchorId="446AFE98" wp14:editId="57B5E81B">
            <wp:extent cx="5943600" cy="4318635"/>
            <wp:effectExtent l="0" t="0" r="19050" b="247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10B5E" w:rsidRPr="00597B6F" w:rsidRDefault="00F10B5E" w:rsidP="002B149E">
      <w:pPr>
        <w:pStyle w:val="Caption"/>
        <w:spacing w:before="0" w:after="0"/>
      </w:pPr>
      <w:r>
        <w:t xml:space="preserve">Figure </w:t>
      </w:r>
      <w:r w:rsidR="007C0ED7">
        <w:t>6</w:t>
      </w:r>
      <w:r>
        <w:t xml:space="preserve">: Central PMN, 1500 BCE-1800 CE </w:t>
      </w:r>
    </w:p>
    <w:p w:rsidR="009C214E" w:rsidRPr="00C560FA" w:rsidRDefault="007C0ED7" w:rsidP="00C560FA">
      <w:pPr>
        <w:pStyle w:val="Caption"/>
        <w:spacing w:before="0" w:after="0"/>
        <w:rPr>
          <w:rFonts w:ascii="Garamond" w:hAnsi="Garamond" w:cs="Arial"/>
          <w:b w:val="0"/>
          <w:sz w:val="24"/>
          <w:szCs w:val="24"/>
        </w:rPr>
      </w:pPr>
      <w:r>
        <w:rPr>
          <w:rFonts w:ascii="Garamond" w:hAnsi="Garamond" w:cs="Arial"/>
          <w:b w:val="0"/>
          <w:sz w:val="24"/>
          <w:szCs w:val="24"/>
        </w:rPr>
        <w:t>Figure 6</w:t>
      </w:r>
      <w:r w:rsidR="00F10B5E" w:rsidRPr="00970E37">
        <w:rPr>
          <w:rFonts w:ascii="Garamond" w:hAnsi="Garamond" w:cs="Arial"/>
          <w:b w:val="0"/>
          <w:sz w:val="24"/>
          <w:szCs w:val="24"/>
        </w:rPr>
        <w:t xml:space="preserve"> shows the power </w:t>
      </w:r>
      <w:r w:rsidR="006501BB">
        <w:rPr>
          <w:rFonts w:ascii="Garamond" w:hAnsi="Garamond" w:cs="Arial"/>
          <w:b w:val="0"/>
          <w:sz w:val="24"/>
          <w:szCs w:val="24"/>
        </w:rPr>
        <w:t>configuration</w:t>
      </w:r>
      <w:r w:rsidR="00F10B5E" w:rsidRPr="00970E37">
        <w:rPr>
          <w:rFonts w:ascii="Garamond" w:hAnsi="Garamond" w:cs="Arial"/>
          <w:b w:val="0"/>
          <w:sz w:val="24"/>
          <w:szCs w:val="24"/>
        </w:rPr>
        <w:t xml:space="preserve"> variable from 1500 BCE to 700 BCE, the time period that David Wilkinson (2004b) has coded. </w:t>
      </w:r>
      <w:r>
        <w:rPr>
          <w:rFonts w:ascii="Garamond" w:hAnsi="Garamond" w:cs="Arial"/>
          <w:b w:val="0"/>
          <w:sz w:val="24"/>
          <w:szCs w:val="24"/>
        </w:rPr>
        <w:t>The scale in Figure 6</w:t>
      </w:r>
      <w:r w:rsidR="00F10B5E" w:rsidRPr="00970E37">
        <w:rPr>
          <w:rFonts w:ascii="Garamond" w:hAnsi="Garamond" w:cs="Arial"/>
          <w:b w:val="0"/>
          <w:sz w:val="24"/>
          <w:szCs w:val="24"/>
        </w:rPr>
        <w:t xml:space="preserve"> make</w:t>
      </w:r>
      <w:r w:rsidR="00C560FA">
        <w:rPr>
          <w:rFonts w:ascii="Garamond" w:hAnsi="Garamond" w:cs="Arial"/>
          <w:b w:val="0"/>
          <w:sz w:val="24"/>
          <w:szCs w:val="24"/>
        </w:rPr>
        <w:t>s</w:t>
      </w:r>
      <w:r w:rsidR="00F10B5E" w:rsidRPr="00970E37">
        <w:rPr>
          <w:rFonts w:ascii="Garamond" w:hAnsi="Garamond" w:cs="Arial"/>
          <w:b w:val="0"/>
          <w:sz w:val="24"/>
          <w:szCs w:val="24"/>
        </w:rPr>
        <w:t xml:space="preserve"> it difficult to see what is happening with the size of the largest polity in this period, but the Pearson’s r correlation between polity size and power configuration for the seventeen time points i</w:t>
      </w:r>
      <w:r w:rsidR="00C560FA">
        <w:rPr>
          <w:rFonts w:ascii="Garamond" w:hAnsi="Garamond" w:cs="Arial"/>
          <w:b w:val="0"/>
          <w:sz w:val="24"/>
          <w:szCs w:val="24"/>
        </w:rPr>
        <w:t>n this period is .28</w:t>
      </w:r>
      <w:r w:rsidR="00F10B5E" w:rsidRPr="00970E37">
        <w:rPr>
          <w:rFonts w:ascii="Garamond" w:hAnsi="Garamond" w:cs="Arial"/>
          <w:b w:val="0"/>
          <w:sz w:val="24"/>
          <w:szCs w:val="24"/>
        </w:rPr>
        <w:t xml:space="preserve">. The correlation between power </w:t>
      </w:r>
      <w:r w:rsidR="006501BB">
        <w:rPr>
          <w:rFonts w:ascii="Garamond" w:hAnsi="Garamond" w:cs="Arial"/>
          <w:b w:val="0"/>
          <w:sz w:val="24"/>
          <w:szCs w:val="24"/>
        </w:rPr>
        <w:t>configuration</w:t>
      </w:r>
      <w:r w:rsidR="00F10B5E" w:rsidRPr="00970E37">
        <w:rPr>
          <w:rFonts w:ascii="Garamond" w:hAnsi="Garamond" w:cs="Arial"/>
          <w:b w:val="0"/>
          <w:sz w:val="24"/>
          <w:szCs w:val="24"/>
        </w:rPr>
        <w:t xml:space="preserve"> and city size for this same period is -.42 (see Table 1 above</w:t>
      </w:r>
      <w:r w:rsidR="00C560FA">
        <w:rPr>
          <w:rFonts w:ascii="Garamond" w:hAnsi="Garamond" w:cs="Arial"/>
          <w:b w:val="0"/>
          <w:sz w:val="24"/>
          <w:szCs w:val="24"/>
        </w:rPr>
        <w:t xml:space="preserve">). </w:t>
      </w:r>
      <w:r w:rsidR="00C76D96">
        <w:rPr>
          <w:rFonts w:ascii="Garamond" w:hAnsi="Garamond" w:cs="Arial"/>
          <w:b w:val="0"/>
          <w:sz w:val="24"/>
          <w:szCs w:val="24"/>
        </w:rPr>
        <w:t xml:space="preserve">A graph for just this time period (1500 BCE to 700 BCE is in the appendix as Figure A1. It shows that there is a lot of variation in power configuration during this period, and that some of its relationship with changes in the largest polity size is positive, but in other instances it is not. </w:t>
      </w:r>
      <w:r w:rsidR="009C214E" w:rsidRPr="00C560FA">
        <w:rPr>
          <w:rFonts w:ascii="Garamond" w:hAnsi="Garamond"/>
          <w:b w:val="0"/>
          <w:sz w:val="24"/>
          <w:szCs w:val="24"/>
        </w:rPr>
        <w:t>The bivariate correlation between city and state size for the sixty-nine time points bet</w:t>
      </w:r>
      <w:r w:rsidR="00C560FA">
        <w:rPr>
          <w:rFonts w:ascii="Garamond" w:hAnsi="Garamond"/>
          <w:b w:val="0"/>
          <w:sz w:val="24"/>
          <w:szCs w:val="24"/>
        </w:rPr>
        <w:t>ween 1500 BCE and 1900 CE is .63</w:t>
      </w:r>
      <w:r w:rsidR="009C214E" w:rsidRPr="00C560FA">
        <w:rPr>
          <w:rFonts w:ascii="Garamond" w:hAnsi="Garamond"/>
          <w:b w:val="0"/>
          <w:sz w:val="24"/>
          <w:szCs w:val="24"/>
        </w:rPr>
        <w:t>.</w:t>
      </w:r>
      <w:r w:rsidR="0016256F">
        <w:rPr>
          <w:rStyle w:val="FootnoteReference"/>
          <w:rFonts w:ascii="Garamond" w:hAnsi="Garamond"/>
          <w:b w:val="0"/>
          <w:sz w:val="24"/>
          <w:szCs w:val="24"/>
        </w:rPr>
        <w:footnoteReference w:id="19"/>
      </w:r>
      <w:r w:rsidR="009C214E" w:rsidRPr="00C560FA">
        <w:rPr>
          <w:rFonts w:ascii="Garamond" w:hAnsi="Garamond"/>
          <w:b w:val="0"/>
          <w:sz w:val="24"/>
          <w:szCs w:val="24"/>
        </w:rPr>
        <w:t xml:space="preserve"> </w:t>
      </w:r>
      <w:r w:rsidR="00C76D96">
        <w:rPr>
          <w:rFonts w:ascii="Garamond" w:hAnsi="Garamond"/>
          <w:b w:val="0"/>
          <w:sz w:val="24"/>
          <w:szCs w:val="24"/>
        </w:rPr>
        <w:t xml:space="preserve"> This supports our notion that cities and states cause each other.</w:t>
      </w:r>
      <w:r w:rsidR="009C214E" w:rsidRPr="00C560FA">
        <w:rPr>
          <w:rFonts w:ascii="Garamond" w:hAnsi="Garamond"/>
          <w:b w:val="0"/>
          <w:sz w:val="24"/>
          <w:szCs w:val="24"/>
        </w:rPr>
        <w:t xml:space="preserve"> Both of the trend correlations are large and positive for the Central PMN (c</w:t>
      </w:r>
      <w:r w:rsidR="00C560FA">
        <w:rPr>
          <w:rFonts w:ascii="Garamond" w:hAnsi="Garamond"/>
          <w:b w:val="0"/>
          <w:sz w:val="24"/>
          <w:szCs w:val="24"/>
        </w:rPr>
        <w:t>ity/year = .45; state/year = .64</w:t>
      </w:r>
      <w:r w:rsidR="009C214E" w:rsidRPr="00C560FA">
        <w:rPr>
          <w:rFonts w:ascii="Garamond" w:hAnsi="Garamond"/>
          <w:b w:val="0"/>
          <w:sz w:val="24"/>
          <w:szCs w:val="24"/>
        </w:rPr>
        <w:t xml:space="preserve">) so the city/state correlation should be </w:t>
      </w:r>
      <w:proofErr w:type="spellStart"/>
      <w:r w:rsidR="009C214E" w:rsidRPr="00C560FA">
        <w:rPr>
          <w:rFonts w:ascii="Garamond" w:hAnsi="Garamond"/>
          <w:b w:val="0"/>
          <w:sz w:val="24"/>
          <w:szCs w:val="24"/>
        </w:rPr>
        <w:t>detrended</w:t>
      </w:r>
      <w:proofErr w:type="spellEnd"/>
      <w:r w:rsidR="009C214E" w:rsidRPr="00C560FA">
        <w:rPr>
          <w:rFonts w:ascii="Garamond" w:hAnsi="Garamond"/>
          <w:b w:val="0"/>
          <w:sz w:val="24"/>
          <w:szCs w:val="24"/>
        </w:rPr>
        <w:t xml:space="preserve"> to see </w:t>
      </w:r>
      <w:r w:rsidR="00C560FA">
        <w:rPr>
          <w:rFonts w:ascii="Garamond" w:hAnsi="Garamond"/>
          <w:b w:val="0"/>
          <w:sz w:val="24"/>
          <w:szCs w:val="24"/>
        </w:rPr>
        <w:t xml:space="preserve">whether or not </w:t>
      </w:r>
      <w:r w:rsidR="009C214E" w:rsidRPr="00C560FA">
        <w:rPr>
          <w:rFonts w:ascii="Garamond" w:hAnsi="Garamond"/>
          <w:b w:val="0"/>
          <w:sz w:val="24"/>
          <w:szCs w:val="24"/>
        </w:rPr>
        <w:t>th</w:t>
      </w:r>
      <w:r w:rsidR="00C560FA">
        <w:rPr>
          <w:rFonts w:ascii="Garamond" w:hAnsi="Garamond"/>
          <w:b w:val="0"/>
          <w:sz w:val="24"/>
          <w:szCs w:val="24"/>
        </w:rPr>
        <w:t>e medium term variations are correlated</w:t>
      </w:r>
      <w:r w:rsidR="009C214E" w:rsidRPr="00C560FA">
        <w:rPr>
          <w:rFonts w:ascii="Garamond" w:hAnsi="Garamond"/>
          <w:b w:val="0"/>
          <w:sz w:val="24"/>
          <w:szCs w:val="24"/>
        </w:rPr>
        <w:t xml:space="preserve"> when the long-term trend is removed. </w:t>
      </w:r>
    </w:p>
    <w:p w:rsidR="00ED494E" w:rsidRPr="002B149E" w:rsidRDefault="00A75736" w:rsidP="002D1D5A">
      <w:pPr>
        <w:rPr>
          <w:rFonts w:ascii="Bookman Old Style" w:hAnsi="Bookman Old Style" w:cs="Arial"/>
          <w:b/>
          <w:sz w:val="24"/>
          <w:szCs w:val="24"/>
        </w:rPr>
      </w:pPr>
      <w:r w:rsidRPr="002B149E">
        <w:rPr>
          <w:rFonts w:ascii="Bookman Old Style" w:hAnsi="Bookman Old Style" w:cs="Arial"/>
          <w:b/>
          <w:sz w:val="24"/>
          <w:szCs w:val="24"/>
        </w:rPr>
        <w:t xml:space="preserve">Partial </w:t>
      </w:r>
      <w:r w:rsidR="00D06485">
        <w:rPr>
          <w:rFonts w:ascii="Bookman Old Style" w:hAnsi="Bookman Old Style" w:cs="Arial"/>
          <w:b/>
          <w:sz w:val="24"/>
          <w:szCs w:val="24"/>
        </w:rPr>
        <w:t>c</w:t>
      </w:r>
      <w:r w:rsidR="00ED494E" w:rsidRPr="002B149E">
        <w:rPr>
          <w:rFonts w:ascii="Bookman Old Style" w:hAnsi="Bookman Old Style" w:cs="Arial"/>
          <w:b/>
          <w:sz w:val="24"/>
          <w:szCs w:val="24"/>
        </w:rPr>
        <w:t>orrelations between cit</w:t>
      </w:r>
      <w:r w:rsidRPr="002B149E">
        <w:rPr>
          <w:rFonts w:ascii="Bookman Old Style" w:hAnsi="Bookman Old Style" w:cs="Arial"/>
          <w:b/>
          <w:sz w:val="24"/>
          <w:szCs w:val="24"/>
        </w:rPr>
        <w:t>ies and states</w:t>
      </w:r>
      <w:r w:rsidR="00C1198D">
        <w:rPr>
          <w:rFonts w:ascii="Bookman Old Style" w:hAnsi="Bookman Old Style" w:cs="Arial"/>
          <w:b/>
          <w:sz w:val="24"/>
          <w:szCs w:val="24"/>
        </w:rPr>
        <w:t xml:space="preserve"> controlling for year</w:t>
      </w:r>
    </w:p>
    <w:p w:rsidR="009C214E" w:rsidRPr="009C214E" w:rsidRDefault="009C214E" w:rsidP="002D1D5A">
      <w:pPr>
        <w:rPr>
          <w:rFonts w:ascii="Garamond" w:hAnsi="Garamond" w:cs="Gisha"/>
        </w:rPr>
      </w:pPr>
      <w:r>
        <w:rPr>
          <w:rFonts w:ascii="Garamond" w:hAnsi="Garamond" w:cs="Arial"/>
          <w:sz w:val="24"/>
          <w:szCs w:val="24"/>
        </w:rPr>
        <w:t>The following tables report the partial correlation coefficients between largest cities and states when year is held constant in order to remove the long-term trends to see if medium term swings are correlated.</w:t>
      </w:r>
      <w:r w:rsidR="0061523B">
        <w:rPr>
          <w:rFonts w:ascii="Garamond" w:hAnsi="Garamond" w:cs="Arial"/>
          <w:sz w:val="24"/>
          <w:szCs w:val="24"/>
        </w:rPr>
        <w:t xml:space="preserve">  We also report the partial correlations between city, state and power </w:t>
      </w:r>
      <w:r w:rsidR="006501BB">
        <w:rPr>
          <w:rFonts w:ascii="Garamond" w:hAnsi="Garamond" w:cs="Arial"/>
          <w:sz w:val="24"/>
          <w:szCs w:val="24"/>
        </w:rPr>
        <w:t>configuration</w:t>
      </w:r>
      <w:r w:rsidR="0061523B">
        <w:rPr>
          <w:rFonts w:ascii="Garamond" w:hAnsi="Garamond" w:cs="Arial"/>
          <w:sz w:val="24"/>
          <w:szCs w:val="24"/>
        </w:rPr>
        <w:t xml:space="preserve"> for the periods in which the latter estimates are available.  The first set of tables looks only at cities and states because we have longer time periods for just these two. The second set of table looks at these plus the power </w:t>
      </w:r>
      <w:r w:rsidR="006501BB">
        <w:rPr>
          <w:rFonts w:ascii="Garamond" w:hAnsi="Garamond" w:cs="Arial"/>
          <w:sz w:val="24"/>
          <w:szCs w:val="24"/>
        </w:rPr>
        <w:t>configuration</w:t>
      </w:r>
      <w:r w:rsidR="0061523B">
        <w:rPr>
          <w:rFonts w:ascii="Garamond" w:hAnsi="Garamond" w:cs="Arial"/>
          <w:sz w:val="24"/>
          <w:szCs w:val="24"/>
        </w:rPr>
        <w:t xml:space="preserve"> variable but for generally shorter periods of time. </w:t>
      </w:r>
    </w:p>
    <w:tbl>
      <w:tblPr>
        <w:tblW w:w="7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876"/>
        <w:gridCol w:w="1507"/>
        <w:gridCol w:w="1013"/>
        <w:gridCol w:w="2070"/>
      </w:tblGrid>
      <w:tr w:rsidR="005A44D0" w:rsidRPr="00DE22CE" w:rsidTr="005A44D0">
        <w:trPr>
          <w:trHeight w:val="414"/>
        </w:trPr>
        <w:tc>
          <w:tcPr>
            <w:tcW w:w="2988" w:type="dxa"/>
            <w:gridSpan w:val="2"/>
            <w:vMerge w:val="restart"/>
            <w:shd w:val="clear" w:color="auto" w:fill="auto"/>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lastRenderedPageBreak/>
              <w:t>PMN / level                          Partial Correlation</w:t>
            </w:r>
          </w:p>
        </w:tc>
        <w:tc>
          <w:tcPr>
            <w:tcW w:w="2520" w:type="dxa"/>
            <w:gridSpan w:val="2"/>
            <w:shd w:val="clear" w:color="auto" w:fill="auto"/>
            <w:vAlign w:val="bottom"/>
            <w:hideMark/>
          </w:tcPr>
          <w:p w:rsidR="005A44D0"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 xml:space="preserve">Mesopotamia             </w:t>
            </w:r>
          </w:p>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 xml:space="preserve"> (-4500- to -1500) </w:t>
            </w:r>
            <w:r w:rsidRPr="00DE22CE">
              <w:rPr>
                <w:rStyle w:val="FootnoteReference"/>
                <w:rFonts w:ascii="Garamond" w:eastAsia="Times New Roman" w:hAnsi="Garamond" w:cs="Gisha"/>
                <w:color w:val="000000"/>
              </w:rPr>
              <w:footnoteReference w:id="20"/>
            </w:r>
          </w:p>
        </w:tc>
        <w:tc>
          <w:tcPr>
            <w:tcW w:w="2070" w:type="dxa"/>
          </w:tcPr>
          <w:p w:rsidR="005A44D0" w:rsidRDefault="005A44D0" w:rsidP="00AD0D89">
            <w:pPr>
              <w:jc w:val="center"/>
              <w:rPr>
                <w:rFonts w:ascii="Garamond" w:eastAsia="Times New Roman" w:hAnsi="Garamond" w:cs="Gisha"/>
                <w:b/>
                <w:bCs/>
                <w:color w:val="000000"/>
              </w:rPr>
            </w:pPr>
            <w:r>
              <w:rPr>
                <w:rFonts w:ascii="Garamond" w:eastAsia="Times New Roman" w:hAnsi="Garamond" w:cs="Gisha"/>
                <w:b/>
                <w:bCs/>
                <w:color w:val="000000"/>
              </w:rPr>
              <w:t>Mesopotamia</w:t>
            </w:r>
          </w:p>
          <w:p w:rsidR="005A44D0" w:rsidRPr="00DE22CE" w:rsidRDefault="005A44D0" w:rsidP="00AD0D89">
            <w:pPr>
              <w:jc w:val="center"/>
              <w:rPr>
                <w:rFonts w:ascii="Garamond" w:eastAsia="Times New Roman" w:hAnsi="Garamond" w:cs="Gisha"/>
                <w:b/>
                <w:bCs/>
                <w:color w:val="000000"/>
              </w:rPr>
            </w:pPr>
            <w:r>
              <w:rPr>
                <w:rFonts w:ascii="Garamond" w:eastAsia="Times New Roman" w:hAnsi="Garamond" w:cs="Gisha"/>
                <w:b/>
                <w:bCs/>
                <w:color w:val="000000"/>
              </w:rPr>
              <w:t>(-2700 to -1500)</w:t>
            </w:r>
          </w:p>
        </w:tc>
      </w:tr>
      <w:tr w:rsidR="005A44D0" w:rsidRPr="00DE22CE" w:rsidTr="005A44D0">
        <w:trPr>
          <w:trHeight w:val="206"/>
        </w:trPr>
        <w:tc>
          <w:tcPr>
            <w:tcW w:w="2988" w:type="dxa"/>
            <w:gridSpan w:val="2"/>
            <w:vMerge/>
            <w:vAlign w:val="center"/>
            <w:hideMark/>
          </w:tcPr>
          <w:p w:rsidR="005A44D0" w:rsidRPr="00DE22CE" w:rsidRDefault="005A44D0" w:rsidP="00AD0D89">
            <w:pPr>
              <w:rPr>
                <w:rFonts w:ascii="Garamond" w:eastAsia="Times New Roman" w:hAnsi="Garamond" w:cs="Gisha"/>
                <w:b/>
                <w:bCs/>
                <w:color w:val="000000"/>
              </w:rPr>
            </w:pPr>
          </w:p>
        </w:tc>
        <w:tc>
          <w:tcPr>
            <w:tcW w:w="1507" w:type="dxa"/>
            <w:shd w:val="clear" w:color="auto" w:fill="auto"/>
            <w:noWrap/>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city</w:t>
            </w:r>
          </w:p>
        </w:tc>
        <w:tc>
          <w:tcPr>
            <w:tcW w:w="1013" w:type="dxa"/>
            <w:shd w:val="clear" w:color="auto" w:fill="auto"/>
            <w:noWrap/>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state</w:t>
            </w:r>
          </w:p>
        </w:tc>
        <w:tc>
          <w:tcPr>
            <w:tcW w:w="2070" w:type="dxa"/>
          </w:tcPr>
          <w:p w:rsidR="005A44D0" w:rsidRPr="00DE22CE" w:rsidRDefault="005A44D0" w:rsidP="00AD0D89">
            <w:pPr>
              <w:jc w:val="center"/>
              <w:rPr>
                <w:rFonts w:ascii="Garamond" w:eastAsia="Times New Roman" w:hAnsi="Garamond" w:cs="Gisha"/>
                <w:b/>
                <w:bCs/>
                <w:color w:val="000000"/>
              </w:rPr>
            </w:pPr>
            <w:r>
              <w:rPr>
                <w:rFonts w:ascii="Garamond" w:eastAsia="Times New Roman" w:hAnsi="Garamond" w:cs="Gisha"/>
                <w:b/>
                <w:bCs/>
                <w:color w:val="000000"/>
              </w:rPr>
              <w:t>state</w:t>
            </w:r>
          </w:p>
        </w:tc>
      </w:tr>
      <w:tr w:rsidR="005A44D0" w:rsidRPr="00DE22CE" w:rsidTr="005A44D0">
        <w:trPr>
          <w:trHeight w:val="414"/>
        </w:trPr>
        <w:tc>
          <w:tcPr>
            <w:tcW w:w="2112" w:type="dxa"/>
            <w:vMerge w:val="restart"/>
            <w:shd w:val="clear" w:color="auto" w:fill="auto"/>
            <w:vAlign w:val="bottom"/>
            <w:hideMark/>
          </w:tcPr>
          <w:p w:rsidR="005A44D0" w:rsidRPr="00DE22CE" w:rsidRDefault="005A44D0" w:rsidP="000C203C">
            <w:pPr>
              <w:jc w:val="center"/>
              <w:rPr>
                <w:rFonts w:ascii="Garamond" w:eastAsia="Times New Roman" w:hAnsi="Garamond" w:cs="Gisha"/>
                <w:b/>
                <w:bCs/>
                <w:color w:val="000000"/>
              </w:rPr>
            </w:pPr>
            <w:r w:rsidRPr="00DE22CE">
              <w:rPr>
                <w:rFonts w:ascii="Garamond" w:eastAsia="Times New Roman" w:hAnsi="Garamond" w:cs="Gisha"/>
                <w:b/>
                <w:bCs/>
                <w:color w:val="000000"/>
              </w:rPr>
              <w:t xml:space="preserve">Mesopotamia            (-4500 to -1500) </w:t>
            </w:r>
          </w:p>
        </w:tc>
        <w:tc>
          <w:tcPr>
            <w:tcW w:w="876" w:type="dxa"/>
            <w:shd w:val="clear" w:color="auto" w:fill="auto"/>
            <w:noWrap/>
            <w:vAlign w:val="bottom"/>
            <w:hideMark/>
          </w:tcPr>
          <w:p w:rsidR="005A44D0" w:rsidRPr="00DE22CE" w:rsidRDefault="005A44D0" w:rsidP="000C203C">
            <w:pPr>
              <w:jc w:val="center"/>
              <w:rPr>
                <w:rFonts w:ascii="Garamond" w:eastAsia="Times New Roman" w:hAnsi="Garamond" w:cs="Gisha"/>
                <w:b/>
                <w:bCs/>
                <w:color w:val="000000"/>
              </w:rPr>
            </w:pPr>
            <w:r w:rsidRPr="00DE22CE">
              <w:rPr>
                <w:rFonts w:ascii="Garamond" w:eastAsia="Times New Roman" w:hAnsi="Garamond" w:cs="Gisha"/>
                <w:b/>
                <w:bCs/>
                <w:color w:val="000000"/>
              </w:rPr>
              <w:t>city</w:t>
            </w:r>
          </w:p>
        </w:tc>
        <w:tc>
          <w:tcPr>
            <w:tcW w:w="1507" w:type="dxa"/>
            <w:shd w:val="clear" w:color="auto" w:fill="auto"/>
            <w:noWrap/>
            <w:vAlign w:val="bottom"/>
            <w:hideMark/>
          </w:tcPr>
          <w:p w:rsidR="005A44D0" w:rsidRPr="00DE22CE" w:rsidRDefault="005A44D0" w:rsidP="000C203C">
            <w:pPr>
              <w:jc w:val="center"/>
              <w:rPr>
                <w:rFonts w:ascii="Garamond" w:eastAsia="Times New Roman" w:hAnsi="Garamond" w:cs="Gisha"/>
                <w:color w:val="000000"/>
              </w:rPr>
            </w:pPr>
            <w:r w:rsidRPr="00DE22CE">
              <w:rPr>
                <w:rFonts w:ascii="Garamond" w:eastAsia="Times New Roman" w:hAnsi="Garamond" w:cs="Gisha"/>
                <w:color w:val="000000"/>
              </w:rPr>
              <w:t>-</w:t>
            </w:r>
          </w:p>
        </w:tc>
        <w:tc>
          <w:tcPr>
            <w:tcW w:w="1013" w:type="dxa"/>
            <w:shd w:val="clear" w:color="auto" w:fill="auto"/>
            <w:vAlign w:val="bottom"/>
            <w:hideMark/>
          </w:tcPr>
          <w:p w:rsidR="005A44D0" w:rsidRPr="004C0FD0" w:rsidRDefault="005A44D0" w:rsidP="000C203C">
            <w:pPr>
              <w:jc w:val="center"/>
              <w:rPr>
                <w:rFonts w:ascii="Garamond" w:eastAsia="Times New Roman" w:hAnsi="Garamond" w:cs="Gisha"/>
                <w:color w:val="000000"/>
              </w:rPr>
            </w:pPr>
            <w:r w:rsidRPr="004C0FD0">
              <w:rPr>
                <w:rFonts w:ascii="Garamond" w:eastAsia="Times New Roman" w:hAnsi="Garamond" w:cs="Gisha"/>
                <w:color w:val="000000"/>
              </w:rPr>
              <w:t>0.58</w:t>
            </w:r>
          </w:p>
          <w:p w:rsidR="005A44D0" w:rsidRPr="00DE22CE" w:rsidRDefault="005A44D0" w:rsidP="000C203C">
            <w:pPr>
              <w:jc w:val="center"/>
              <w:rPr>
                <w:rFonts w:ascii="Garamond" w:eastAsia="Times New Roman" w:hAnsi="Garamond" w:cs="Gisha"/>
                <w:color w:val="000000"/>
              </w:rPr>
            </w:pPr>
            <w:r w:rsidRPr="004C0FD0">
              <w:rPr>
                <w:rFonts w:ascii="Garamond" w:eastAsia="Times New Roman" w:hAnsi="Garamond" w:cs="Gisha"/>
                <w:color w:val="000000"/>
              </w:rPr>
              <w:t>(.763)</w:t>
            </w:r>
          </w:p>
        </w:tc>
        <w:tc>
          <w:tcPr>
            <w:tcW w:w="2070" w:type="dxa"/>
          </w:tcPr>
          <w:p w:rsidR="005A44D0" w:rsidRDefault="005A44D0" w:rsidP="000C203C">
            <w:pPr>
              <w:jc w:val="center"/>
              <w:rPr>
                <w:rFonts w:ascii="Garamond" w:eastAsia="Times New Roman" w:hAnsi="Garamond" w:cs="Gisha"/>
                <w:color w:val="000000"/>
              </w:rPr>
            </w:pPr>
            <w:r>
              <w:rPr>
                <w:rFonts w:ascii="Garamond" w:eastAsia="Times New Roman" w:hAnsi="Garamond" w:cs="Gisha"/>
                <w:color w:val="000000"/>
              </w:rPr>
              <w:t>.16</w:t>
            </w:r>
          </w:p>
          <w:p w:rsidR="005A44D0" w:rsidRPr="004C0FD0" w:rsidRDefault="005A44D0" w:rsidP="000C203C">
            <w:pPr>
              <w:jc w:val="center"/>
              <w:rPr>
                <w:rFonts w:ascii="Garamond" w:eastAsia="Times New Roman" w:hAnsi="Garamond" w:cs="Gisha"/>
                <w:color w:val="000000"/>
              </w:rPr>
            </w:pPr>
            <w:r>
              <w:rPr>
                <w:rFonts w:ascii="Garamond" w:eastAsia="Times New Roman" w:hAnsi="Garamond" w:cs="Gisha"/>
                <w:color w:val="000000"/>
              </w:rPr>
              <w:t>(.62)</w:t>
            </w:r>
          </w:p>
        </w:tc>
      </w:tr>
      <w:tr w:rsidR="005A44D0" w:rsidRPr="00DE22CE" w:rsidTr="005A44D0">
        <w:trPr>
          <w:trHeight w:val="414"/>
        </w:trPr>
        <w:tc>
          <w:tcPr>
            <w:tcW w:w="2112" w:type="dxa"/>
            <w:vMerge/>
            <w:vAlign w:val="center"/>
            <w:hideMark/>
          </w:tcPr>
          <w:p w:rsidR="005A44D0" w:rsidRPr="00DE22CE" w:rsidRDefault="005A44D0" w:rsidP="000C203C">
            <w:pPr>
              <w:rPr>
                <w:rFonts w:ascii="Garamond" w:eastAsia="Times New Roman" w:hAnsi="Garamond" w:cs="Gisha"/>
                <w:b/>
                <w:bCs/>
                <w:color w:val="000000"/>
              </w:rPr>
            </w:pPr>
          </w:p>
        </w:tc>
        <w:tc>
          <w:tcPr>
            <w:tcW w:w="876" w:type="dxa"/>
            <w:shd w:val="clear" w:color="auto" w:fill="auto"/>
            <w:noWrap/>
            <w:vAlign w:val="bottom"/>
            <w:hideMark/>
          </w:tcPr>
          <w:p w:rsidR="005A44D0" w:rsidRPr="00DE22CE" w:rsidRDefault="005A44D0" w:rsidP="000C203C">
            <w:pPr>
              <w:jc w:val="center"/>
              <w:rPr>
                <w:rFonts w:ascii="Garamond" w:eastAsia="Times New Roman" w:hAnsi="Garamond" w:cs="Gisha"/>
                <w:b/>
                <w:bCs/>
                <w:color w:val="000000"/>
              </w:rPr>
            </w:pPr>
            <w:r w:rsidRPr="00DE22CE">
              <w:rPr>
                <w:rFonts w:ascii="Garamond" w:eastAsia="Times New Roman" w:hAnsi="Garamond" w:cs="Gisha"/>
                <w:b/>
                <w:bCs/>
                <w:color w:val="000000"/>
              </w:rPr>
              <w:t>state</w:t>
            </w:r>
          </w:p>
        </w:tc>
        <w:tc>
          <w:tcPr>
            <w:tcW w:w="1507" w:type="dxa"/>
            <w:shd w:val="clear" w:color="auto" w:fill="auto"/>
            <w:vAlign w:val="bottom"/>
            <w:hideMark/>
          </w:tcPr>
          <w:p w:rsidR="005A44D0" w:rsidRPr="004C0FD0" w:rsidRDefault="005A44D0" w:rsidP="000C203C">
            <w:pPr>
              <w:jc w:val="center"/>
              <w:rPr>
                <w:rFonts w:ascii="Garamond" w:eastAsia="Times New Roman" w:hAnsi="Garamond" w:cs="Gisha"/>
                <w:color w:val="000000"/>
              </w:rPr>
            </w:pPr>
            <w:r w:rsidRPr="004C0FD0">
              <w:rPr>
                <w:rFonts w:ascii="Garamond" w:eastAsia="Times New Roman" w:hAnsi="Garamond" w:cs="Gisha"/>
                <w:color w:val="000000"/>
              </w:rPr>
              <w:t>0.58</w:t>
            </w:r>
          </w:p>
          <w:p w:rsidR="005A44D0" w:rsidRPr="00DE22CE" w:rsidRDefault="005A44D0" w:rsidP="000C203C">
            <w:pPr>
              <w:jc w:val="center"/>
              <w:rPr>
                <w:rFonts w:ascii="Garamond" w:eastAsia="Times New Roman" w:hAnsi="Garamond" w:cs="Gisha"/>
                <w:color w:val="000000"/>
              </w:rPr>
            </w:pPr>
            <w:r w:rsidRPr="004C0FD0">
              <w:rPr>
                <w:rFonts w:ascii="Garamond" w:eastAsia="Times New Roman" w:hAnsi="Garamond" w:cs="Gisha"/>
                <w:color w:val="000000"/>
              </w:rPr>
              <w:t>(.763)</w:t>
            </w:r>
          </w:p>
        </w:tc>
        <w:tc>
          <w:tcPr>
            <w:tcW w:w="1013" w:type="dxa"/>
            <w:shd w:val="clear" w:color="auto" w:fill="auto"/>
            <w:noWrap/>
            <w:vAlign w:val="bottom"/>
            <w:hideMark/>
          </w:tcPr>
          <w:p w:rsidR="005A44D0" w:rsidRPr="00DE22CE" w:rsidRDefault="005A44D0" w:rsidP="000C203C">
            <w:pPr>
              <w:jc w:val="center"/>
              <w:rPr>
                <w:rFonts w:ascii="Garamond" w:eastAsia="Times New Roman" w:hAnsi="Garamond" w:cs="Gisha"/>
                <w:color w:val="000000"/>
              </w:rPr>
            </w:pPr>
            <w:r w:rsidRPr="00DE22CE">
              <w:rPr>
                <w:rFonts w:ascii="Garamond" w:eastAsia="Times New Roman" w:hAnsi="Garamond" w:cs="Gisha"/>
                <w:color w:val="000000"/>
              </w:rPr>
              <w:t>-</w:t>
            </w:r>
          </w:p>
        </w:tc>
        <w:tc>
          <w:tcPr>
            <w:tcW w:w="2070" w:type="dxa"/>
          </w:tcPr>
          <w:p w:rsidR="005A44D0" w:rsidRPr="00DE22CE" w:rsidRDefault="005A44D0" w:rsidP="000C203C">
            <w:pPr>
              <w:jc w:val="center"/>
              <w:rPr>
                <w:rFonts w:ascii="Garamond" w:eastAsia="Times New Roman" w:hAnsi="Garamond" w:cs="Gisha"/>
                <w:color w:val="000000"/>
              </w:rPr>
            </w:pPr>
          </w:p>
        </w:tc>
      </w:tr>
    </w:tbl>
    <w:p w:rsidR="00DE22CE" w:rsidRDefault="00711162" w:rsidP="000C203C">
      <w:pPr>
        <w:pStyle w:val="Caption"/>
        <w:spacing w:before="0" w:after="0"/>
        <w:rPr>
          <w:sz w:val="24"/>
          <w:szCs w:val="24"/>
        </w:rPr>
      </w:pPr>
      <w:r w:rsidRPr="00DE22CE">
        <w:t>Table 2: Mesopotamian PMN (-450</w:t>
      </w:r>
      <w:r w:rsidR="000C203C">
        <w:t xml:space="preserve">0 to </w:t>
      </w:r>
      <w:r w:rsidR="00C1198D">
        <w:t>-1500) (100 year intervals</w:t>
      </w:r>
      <w:r w:rsidR="000C203C">
        <w:t>)</w:t>
      </w:r>
    </w:p>
    <w:p w:rsidR="000C203C" w:rsidRPr="000C203C" w:rsidRDefault="00711162" w:rsidP="000C203C">
      <w:pPr>
        <w:rPr>
          <w:rFonts w:ascii="Garamond" w:hAnsi="Garamond" w:cs="Gisha"/>
          <w:sz w:val="24"/>
          <w:szCs w:val="24"/>
        </w:rPr>
      </w:pPr>
      <w:r w:rsidRPr="005A44D0">
        <w:rPr>
          <w:rFonts w:ascii="Garamond" w:hAnsi="Garamond" w:cs="Gisha"/>
          <w:sz w:val="24"/>
          <w:szCs w:val="24"/>
        </w:rPr>
        <w:t xml:space="preserve">Table 2 shows that controlling for year changes the Mesopotamian correlation between city and state from </w:t>
      </w:r>
      <w:r w:rsidR="000C203C" w:rsidRPr="005A44D0">
        <w:rPr>
          <w:rFonts w:ascii="Garamond" w:hAnsi="Garamond" w:cs="Gisha"/>
          <w:sz w:val="24"/>
          <w:szCs w:val="24"/>
        </w:rPr>
        <w:t xml:space="preserve"> the -.05 shown in Table 1</w:t>
      </w:r>
      <w:r w:rsidRPr="005A44D0">
        <w:rPr>
          <w:rFonts w:ascii="Garamond" w:hAnsi="Garamond" w:cs="Gisha"/>
          <w:sz w:val="24"/>
          <w:szCs w:val="24"/>
        </w:rPr>
        <w:t xml:space="preserve"> to .</w:t>
      </w:r>
      <w:r w:rsidR="005A44D0">
        <w:rPr>
          <w:rFonts w:ascii="Garamond" w:hAnsi="Garamond" w:cs="Gisha"/>
          <w:sz w:val="24"/>
          <w:szCs w:val="24"/>
        </w:rPr>
        <w:t>16 for the period from 2700 BCE to 1500 BCE</w:t>
      </w:r>
      <w:r w:rsidR="000C203C" w:rsidRPr="005A44D0">
        <w:rPr>
          <w:rFonts w:ascii="Garamond" w:hAnsi="Garamond" w:cs="Gisha"/>
          <w:sz w:val="24"/>
          <w:szCs w:val="24"/>
        </w:rPr>
        <w:t>.</w:t>
      </w:r>
      <w:r w:rsidR="005A44D0">
        <w:rPr>
          <w:rFonts w:ascii="Garamond" w:hAnsi="Garamond" w:cs="Gisha"/>
          <w:sz w:val="24"/>
          <w:szCs w:val="24"/>
        </w:rPr>
        <w:t xml:space="preserve"> C</w:t>
      </w:r>
      <w:r w:rsidR="000C203C" w:rsidRPr="005A44D0">
        <w:rPr>
          <w:rFonts w:ascii="Garamond" w:hAnsi="Garamond" w:cs="Gisha"/>
          <w:sz w:val="24"/>
          <w:szCs w:val="24"/>
        </w:rPr>
        <w:t>ontrolling for year remove</w:t>
      </w:r>
      <w:r w:rsidR="005A44D0">
        <w:rPr>
          <w:rFonts w:ascii="Garamond" w:hAnsi="Garamond" w:cs="Gisha"/>
          <w:sz w:val="24"/>
          <w:szCs w:val="24"/>
        </w:rPr>
        <w:t>s</w:t>
      </w:r>
      <w:r w:rsidR="000C203C" w:rsidRPr="005A44D0">
        <w:rPr>
          <w:rFonts w:ascii="Garamond" w:hAnsi="Garamond" w:cs="Gisha"/>
          <w:sz w:val="24"/>
          <w:szCs w:val="24"/>
        </w:rPr>
        <w:t xml:space="preserve"> the negative </w:t>
      </w:r>
      <w:r w:rsidR="00A92B77" w:rsidRPr="005A44D0">
        <w:rPr>
          <w:rFonts w:ascii="Garamond" w:hAnsi="Garamond" w:cs="Gisha"/>
          <w:sz w:val="24"/>
          <w:szCs w:val="24"/>
        </w:rPr>
        <w:t xml:space="preserve">bivariate </w:t>
      </w:r>
      <w:r w:rsidR="000C203C" w:rsidRPr="005A44D0">
        <w:rPr>
          <w:rFonts w:ascii="Garamond" w:hAnsi="Garamond" w:cs="Gisha"/>
          <w:sz w:val="24"/>
          <w:szCs w:val="24"/>
        </w:rPr>
        <w:t>correlation between year and city size (-.74 in Table 1) which allows the positive relationship between city size and polity size to become visible.</w:t>
      </w:r>
      <w:r w:rsidR="000174B8">
        <w:rPr>
          <w:rFonts w:ascii="Garamond" w:hAnsi="Garamond" w:cs="Gisha"/>
          <w:sz w:val="24"/>
          <w:szCs w:val="24"/>
        </w:rPr>
        <w:t xml:space="preserve"> </w:t>
      </w:r>
      <w:r w:rsidR="005A44D0">
        <w:rPr>
          <w:rFonts w:ascii="Garamond" w:hAnsi="Garamond" w:cs="Gisha"/>
          <w:sz w:val="24"/>
          <w:szCs w:val="24"/>
        </w:rPr>
        <w:t>The longer term partial correlation between city and state sizes (4500 BCE to 1500 BCE is also positive (.58).</w:t>
      </w:r>
    </w:p>
    <w:tbl>
      <w:tblPr>
        <w:tblW w:w="8228" w:type="dxa"/>
        <w:tblLook w:val="04A0" w:firstRow="1" w:lastRow="0" w:firstColumn="1" w:lastColumn="0" w:noHBand="0" w:noVBand="1"/>
      </w:tblPr>
      <w:tblGrid>
        <w:gridCol w:w="2170"/>
        <w:gridCol w:w="1212"/>
        <w:gridCol w:w="1211"/>
        <w:gridCol w:w="1212"/>
        <w:gridCol w:w="2423"/>
      </w:tblGrid>
      <w:tr w:rsidR="005A44D0" w:rsidRPr="00DE22CE" w:rsidTr="005A44D0">
        <w:trPr>
          <w:trHeight w:val="399"/>
        </w:trPr>
        <w:tc>
          <w:tcPr>
            <w:tcW w:w="33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PMN / level                          Partial Correlation</w:t>
            </w:r>
          </w:p>
        </w:tc>
        <w:tc>
          <w:tcPr>
            <w:tcW w:w="2423" w:type="dxa"/>
            <w:gridSpan w:val="2"/>
            <w:tcBorders>
              <w:top w:val="single" w:sz="4" w:space="0" w:color="auto"/>
              <w:left w:val="nil"/>
              <w:bottom w:val="single" w:sz="4" w:space="0" w:color="auto"/>
              <w:right w:val="single" w:sz="4" w:space="0" w:color="auto"/>
            </w:tcBorders>
            <w:shd w:val="clear" w:color="auto" w:fill="auto"/>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 xml:space="preserve">Egyptian PMN                      (-3200 to -1500) </w:t>
            </w:r>
          </w:p>
        </w:tc>
        <w:tc>
          <w:tcPr>
            <w:tcW w:w="2423" w:type="dxa"/>
            <w:tcBorders>
              <w:top w:val="single" w:sz="4" w:space="0" w:color="auto"/>
              <w:left w:val="nil"/>
              <w:bottom w:val="single" w:sz="4" w:space="0" w:color="auto"/>
              <w:right w:val="single" w:sz="4" w:space="0" w:color="auto"/>
            </w:tcBorders>
          </w:tcPr>
          <w:p w:rsidR="005A44D0" w:rsidRDefault="005A44D0" w:rsidP="00AD0D89">
            <w:pPr>
              <w:jc w:val="center"/>
              <w:rPr>
                <w:rFonts w:ascii="Garamond" w:eastAsia="Times New Roman" w:hAnsi="Garamond" w:cs="Gisha"/>
                <w:b/>
                <w:bCs/>
                <w:color w:val="000000"/>
              </w:rPr>
            </w:pPr>
            <w:r>
              <w:rPr>
                <w:rFonts w:ascii="Garamond" w:eastAsia="Times New Roman" w:hAnsi="Garamond" w:cs="Gisha"/>
                <w:b/>
                <w:bCs/>
                <w:color w:val="000000"/>
              </w:rPr>
              <w:t>Egyptian PMN</w:t>
            </w:r>
          </w:p>
          <w:p w:rsidR="005A44D0" w:rsidRPr="00DE22CE" w:rsidRDefault="005A44D0" w:rsidP="00AD0D89">
            <w:pPr>
              <w:jc w:val="center"/>
              <w:rPr>
                <w:rFonts w:ascii="Garamond" w:eastAsia="Times New Roman" w:hAnsi="Garamond" w:cs="Gisha"/>
                <w:b/>
                <w:bCs/>
                <w:color w:val="000000"/>
              </w:rPr>
            </w:pPr>
            <w:r>
              <w:rPr>
                <w:rFonts w:ascii="Garamond" w:eastAsia="Times New Roman" w:hAnsi="Garamond" w:cs="Gisha"/>
                <w:b/>
                <w:bCs/>
                <w:color w:val="000000"/>
              </w:rPr>
              <w:t>-2600 to -1500</w:t>
            </w:r>
          </w:p>
        </w:tc>
      </w:tr>
      <w:tr w:rsidR="005A44D0" w:rsidRPr="00DE22CE" w:rsidTr="005A44D0">
        <w:trPr>
          <w:trHeight w:val="199"/>
        </w:trPr>
        <w:tc>
          <w:tcPr>
            <w:tcW w:w="3382" w:type="dxa"/>
            <w:gridSpan w:val="2"/>
            <w:vMerge/>
            <w:tcBorders>
              <w:top w:val="single" w:sz="4" w:space="0" w:color="auto"/>
              <w:left w:val="single" w:sz="4" w:space="0" w:color="auto"/>
              <w:bottom w:val="single" w:sz="4" w:space="0" w:color="auto"/>
              <w:right w:val="single" w:sz="4" w:space="0" w:color="auto"/>
            </w:tcBorders>
            <w:vAlign w:val="center"/>
            <w:hideMark/>
          </w:tcPr>
          <w:p w:rsidR="005A44D0" w:rsidRPr="00DE22CE" w:rsidRDefault="005A44D0" w:rsidP="00AD0D89">
            <w:pPr>
              <w:rPr>
                <w:rFonts w:ascii="Garamond" w:eastAsia="Times New Roman" w:hAnsi="Garamond" w:cs="Gisha"/>
                <w:b/>
                <w:bCs/>
                <w:color w:val="000000"/>
              </w:rPr>
            </w:pPr>
          </w:p>
        </w:tc>
        <w:tc>
          <w:tcPr>
            <w:tcW w:w="1211" w:type="dxa"/>
            <w:tcBorders>
              <w:top w:val="nil"/>
              <w:left w:val="nil"/>
              <w:bottom w:val="single" w:sz="4" w:space="0" w:color="auto"/>
              <w:right w:val="single" w:sz="4" w:space="0" w:color="auto"/>
            </w:tcBorders>
            <w:shd w:val="clear" w:color="auto" w:fill="auto"/>
            <w:noWrap/>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city</w:t>
            </w:r>
          </w:p>
        </w:tc>
        <w:tc>
          <w:tcPr>
            <w:tcW w:w="1212" w:type="dxa"/>
            <w:tcBorders>
              <w:top w:val="nil"/>
              <w:left w:val="nil"/>
              <w:bottom w:val="single" w:sz="4" w:space="0" w:color="auto"/>
              <w:right w:val="single" w:sz="4" w:space="0" w:color="auto"/>
            </w:tcBorders>
            <w:shd w:val="clear" w:color="auto" w:fill="auto"/>
            <w:noWrap/>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state</w:t>
            </w:r>
          </w:p>
        </w:tc>
        <w:tc>
          <w:tcPr>
            <w:tcW w:w="2423" w:type="dxa"/>
            <w:tcBorders>
              <w:top w:val="nil"/>
              <w:left w:val="nil"/>
              <w:bottom w:val="single" w:sz="4" w:space="0" w:color="auto"/>
              <w:right w:val="single" w:sz="4" w:space="0" w:color="auto"/>
            </w:tcBorders>
          </w:tcPr>
          <w:p w:rsidR="005A44D0" w:rsidRPr="00DE22CE" w:rsidRDefault="005A44D0" w:rsidP="00AD0D89">
            <w:pPr>
              <w:jc w:val="center"/>
              <w:rPr>
                <w:rFonts w:ascii="Garamond" w:eastAsia="Times New Roman" w:hAnsi="Garamond" w:cs="Gisha"/>
                <w:b/>
                <w:bCs/>
                <w:color w:val="000000"/>
              </w:rPr>
            </w:pPr>
            <w:r>
              <w:rPr>
                <w:rFonts w:ascii="Garamond" w:eastAsia="Times New Roman" w:hAnsi="Garamond" w:cs="Gisha"/>
                <w:b/>
                <w:bCs/>
                <w:color w:val="000000"/>
              </w:rPr>
              <w:t>state</w:t>
            </w:r>
          </w:p>
        </w:tc>
      </w:tr>
      <w:tr w:rsidR="005A44D0" w:rsidRPr="00DE22CE" w:rsidTr="005A44D0">
        <w:trPr>
          <w:trHeight w:val="399"/>
        </w:trPr>
        <w:tc>
          <w:tcPr>
            <w:tcW w:w="2170" w:type="dxa"/>
            <w:vMerge w:val="restart"/>
            <w:tcBorders>
              <w:top w:val="nil"/>
              <w:left w:val="single" w:sz="4" w:space="0" w:color="auto"/>
              <w:bottom w:val="single" w:sz="4" w:space="0" w:color="auto"/>
              <w:right w:val="single" w:sz="4" w:space="0" w:color="auto"/>
            </w:tcBorders>
            <w:shd w:val="clear" w:color="auto" w:fill="auto"/>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 xml:space="preserve">Egyptian PMN                      (-3200 to -1500) </w:t>
            </w:r>
          </w:p>
        </w:tc>
        <w:tc>
          <w:tcPr>
            <w:tcW w:w="1212" w:type="dxa"/>
            <w:tcBorders>
              <w:top w:val="nil"/>
              <w:left w:val="nil"/>
              <w:bottom w:val="single" w:sz="4" w:space="0" w:color="auto"/>
              <w:right w:val="single" w:sz="4" w:space="0" w:color="auto"/>
            </w:tcBorders>
            <w:shd w:val="clear" w:color="auto" w:fill="auto"/>
            <w:noWrap/>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city</w:t>
            </w:r>
          </w:p>
        </w:tc>
        <w:tc>
          <w:tcPr>
            <w:tcW w:w="1211" w:type="dxa"/>
            <w:tcBorders>
              <w:top w:val="nil"/>
              <w:left w:val="nil"/>
              <w:bottom w:val="single" w:sz="4" w:space="0" w:color="auto"/>
              <w:right w:val="single" w:sz="4" w:space="0" w:color="auto"/>
            </w:tcBorders>
            <w:shd w:val="clear" w:color="auto" w:fill="auto"/>
            <w:noWrap/>
            <w:vAlign w:val="bottom"/>
            <w:hideMark/>
          </w:tcPr>
          <w:p w:rsidR="005A44D0" w:rsidRPr="00DE22CE" w:rsidRDefault="005A44D0" w:rsidP="00AD0D89">
            <w:pPr>
              <w:jc w:val="center"/>
              <w:rPr>
                <w:rFonts w:ascii="Garamond" w:eastAsia="Times New Roman" w:hAnsi="Garamond" w:cs="Gisha"/>
                <w:color w:val="000000"/>
              </w:rPr>
            </w:pPr>
            <w:r w:rsidRPr="00DE22CE">
              <w:rPr>
                <w:rFonts w:ascii="Garamond" w:eastAsia="Times New Roman" w:hAnsi="Garamond" w:cs="Gisha"/>
                <w:color w:val="000000"/>
              </w:rPr>
              <w:t>-</w:t>
            </w:r>
          </w:p>
        </w:tc>
        <w:tc>
          <w:tcPr>
            <w:tcW w:w="1212" w:type="dxa"/>
            <w:tcBorders>
              <w:top w:val="nil"/>
              <w:left w:val="nil"/>
              <w:bottom w:val="single" w:sz="4" w:space="0" w:color="auto"/>
              <w:right w:val="single" w:sz="4" w:space="0" w:color="auto"/>
            </w:tcBorders>
            <w:shd w:val="clear" w:color="auto" w:fill="auto"/>
            <w:vAlign w:val="bottom"/>
            <w:hideMark/>
          </w:tcPr>
          <w:p w:rsidR="005A44D0" w:rsidRPr="00F90800" w:rsidRDefault="005A44D0" w:rsidP="00F90800">
            <w:pPr>
              <w:jc w:val="center"/>
              <w:rPr>
                <w:rFonts w:ascii="Garamond" w:eastAsia="Times New Roman" w:hAnsi="Garamond" w:cs="Gisha"/>
                <w:color w:val="000000"/>
              </w:rPr>
            </w:pPr>
            <w:r>
              <w:rPr>
                <w:rFonts w:ascii="Garamond" w:eastAsia="Times New Roman" w:hAnsi="Garamond" w:cs="Gisha"/>
                <w:color w:val="000000"/>
              </w:rPr>
              <w:t>.25</w:t>
            </w:r>
          </w:p>
          <w:p w:rsidR="005A44D0" w:rsidRPr="00DE22CE" w:rsidRDefault="005A44D0" w:rsidP="00F90800">
            <w:pPr>
              <w:jc w:val="center"/>
              <w:rPr>
                <w:rFonts w:ascii="Garamond" w:eastAsia="Times New Roman" w:hAnsi="Garamond" w:cs="Gisha"/>
                <w:color w:val="000000"/>
              </w:rPr>
            </w:pPr>
            <w:r w:rsidRPr="00F90800">
              <w:rPr>
                <w:rFonts w:ascii="Garamond" w:eastAsia="Times New Roman" w:hAnsi="Garamond" w:cs="Gisha"/>
                <w:color w:val="000000"/>
              </w:rPr>
              <w:t>(.323)</w:t>
            </w:r>
          </w:p>
        </w:tc>
        <w:tc>
          <w:tcPr>
            <w:tcW w:w="2423" w:type="dxa"/>
            <w:tcBorders>
              <w:top w:val="nil"/>
              <w:left w:val="nil"/>
              <w:bottom w:val="single" w:sz="4" w:space="0" w:color="auto"/>
              <w:right w:val="single" w:sz="4" w:space="0" w:color="auto"/>
            </w:tcBorders>
          </w:tcPr>
          <w:p w:rsidR="005A44D0" w:rsidRDefault="007A2657" w:rsidP="00F90800">
            <w:pPr>
              <w:jc w:val="center"/>
              <w:rPr>
                <w:rFonts w:ascii="Garamond" w:eastAsia="Times New Roman" w:hAnsi="Garamond" w:cs="Gisha"/>
                <w:color w:val="000000"/>
              </w:rPr>
            </w:pPr>
            <w:r>
              <w:rPr>
                <w:rFonts w:ascii="Garamond" w:eastAsia="Times New Roman" w:hAnsi="Garamond" w:cs="Gisha"/>
                <w:color w:val="000000"/>
              </w:rPr>
              <w:t>.34</w:t>
            </w:r>
          </w:p>
          <w:p w:rsidR="007A2657" w:rsidRDefault="007A2657" w:rsidP="00F90800">
            <w:pPr>
              <w:jc w:val="center"/>
              <w:rPr>
                <w:rFonts w:ascii="Garamond" w:eastAsia="Times New Roman" w:hAnsi="Garamond" w:cs="Gisha"/>
                <w:color w:val="000000"/>
              </w:rPr>
            </w:pPr>
            <w:r>
              <w:rPr>
                <w:rFonts w:ascii="Garamond" w:eastAsia="Times New Roman" w:hAnsi="Garamond" w:cs="Gisha"/>
                <w:color w:val="000000"/>
              </w:rPr>
              <w:t>(.31)</w:t>
            </w:r>
          </w:p>
        </w:tc>
      </w:tr>
      <w:tr w:rsidR="005A44D0" w:rsidRPr="00DE22CE" w:rsidTr="005A44D0">
        <w:trPr>
          <w:trHeight w:val="399"/>
        </w:trPr>
        <w:tc>
          <w:tcPr>
            <w:tcW w:w="2170" w:type="dxa"/>
            <w:vMerge/>
            <w:tcBorders>
              <w:top w:val="nil"/>
              <w:left w:val="single" w:sz="4" w:space="0" w:color="auto"/>
              <w:bottom w:val="single" w:sz="4" w:space="0" w:color="auto"/>
              <w:right w:val="single" w:sz="4" w:space="0" w:color="auto"/>
            </w:tcBorders>
            <w:vAlign w:val="center"/>
            <w:hideMark/>
          </w:tcPr>
          <w:p w:rsidR="005A44D0" w:rsidRPr="00DE22CE" w:rsidRDefault="005A44D0" w:rsidP="00AD0D89">
            <w:pPr>
              <w:rPr>
                <w:rFonts w:ascii="Garamond" w:eastAsia="Times New Roman" w:hAnsi="Garamond" w:cs="Gisha"/>
                <w:b/>
                <w:bCs/>
                <w:color w:val="000000"/>
              </w:rPr>
            </w:pPr>
          </w:p>
        </w:tc>
        <w:tc>
          <w:tcPr>
            <w:tcW w:w="1212" w:type="dxa"/>
            <w:tcBorders>
              <w:top w:val="nil"/>
              <w:left w:val="nil"/>
              <w:bottom w:val="single" w:sz="4" w:space="0" w:color="auto"/>
              <w:right w:val="single" w:sz="4" w:space="0" w:color="auto"/>
            </w:tcBorders>
            <w:shd w:val="clear" w:color="auto" w:fill="auto"/>
            <w:noWrap/>
            <w:vAlign w:val="bottom"/>
            <w:hideMark/>
          </w:tcPr>
          <w:p w:rsidR="005A44D0" w:rsidRPr="00DE22CE" w:rsidRDefault="005A44D0" w:rsidP="00AD0D89">
            <w:pPr>
              <w:jc w:val="center"/>
              <w:rPr>
                <w:rFonts w:ascii="Garamond" w:eastAsia="Times New Roman" w:hAnsi="Garamond" w:cs="Gisha"/>
                <w:b/>
                <w:bCs/>
                <w:color w:val="000000"/>
              </w:rPr>
            </w:pPr>
            <w:r w:rsidRPr="00DE22CE">
              <w:rPr>
                <w:rFonts w:ascii="Garamond" w:eastAsia="Times New Roman" w:hAnsi="Garamond" w:cs="Gisha"/>
                <w:b/>
                <w:bCs/>
                <w:color w:val="000000"/>
              </w:rPr>
              <w:t>state</w:t>
            </w:r>
          </w:p>
        </w:tc>
        <w:tc>
          <w:tcPr>
            <w:tcW w:w="1211" w:type="dxa"/>
            <w:tcBorders>
              <w:top w:val="nil"/>
              <w:left w:val="nil"/>
              <w:bottom w:val="single" w:sz="4" w:space="0" w:color="auto"/>
              <w:right w:val="single" w:sz="4" w:space="0" w:color="auto"/>
            </w:tcBorders>
            <w:shd w:val="clear" w:color="auto" w:fill="auto"/>
            <w:vAlign w:val="bottom"/>
            <w:hideMark/>
          </w:tcPr>
          <w:p w:rsidR="005A44D0" w:rsidRPr="00F90800" w:rsidRDefault="005A44D0" w:rsidP="00F90800">
            <w:pPr>
              <w:jc w:val="center"/>
              <w:rPr>
                <w:rFonts w:ascii="Garamond" w:eastAsia="Times New Roman" w:hAnsi="Garamond" w:cs="Gisha"/>
                <w:color w:val="000000"/>
              </w:rPr>
            </w:pPr>
            <w:r>
              <w:rPr>
                <w:rFonts w:ascii="Garamond" w:eastAsia="Times New Roman" w:hAnsi="Garamond" w:cs="Gisha"/>
                <w:color w:val="000000"/>
              </w:rPr>
              <w:t>.25</w:t>
            </w:r>
          </w:p>
          <w:p w:rsidR="005A44D0" w:rsidRPr="00DE22CE" w:rsidRDefault="005A44D0" w:rsidP="00F90800">
            <w:pPr>
              <w:jc w:val="center"/>
              <w:rPr>
                <w:rFonts w:ascii="Garamond" w:eastAsia="Times New Roman" w:hAnsi="Garamond" w:cs="Gisha"/>
                <w:color w:val="000000"/>
              </w:rPr>
            </w:pPr>
            <w:r w:rsidRPr="00F90800">
              <w:rPr>
                <w:rFonts w:ascii="Garamond" w:eastAsia="Times New Roman" w:hAnsi="Garamond" w:cs="Gisha"/>
                <w:color w:val="000000"/>
              </w:rPr>
              <w:t>(.323)</w:t>
            </w:r>
          </w:p>
        </w:tc>
        <w:tc>
          <w:tcPr>
            <w:tcW w:w="1212" w:type="dxa"/>
            <w:tcBorders>
              <w:top w:val="nil"/>
              <w:left w:val="nil"/>
              <w:bottom w:val="single" w:sz="4" w:space="0" w:color="auto"/>
              <w:right w:val="single" w:sz="4" w:space="0" w:color="auto"/>
            </w:tcBorders>
            <w:shd w:val="clear" w:color="auto" w:fill="auto"/>
            <w:noWrap/>
            <w:vAlign w:val="bottom"/>
            <w:hideMark/>
          </w:tcPr>
          <w:p w:rsidR="005A44D0" w:rsidRPr="00DE22CE" w:rsidRDefault="005A44D0" w:rsidP="00AD0D89">
            <w:pPr>
              <w:jc w:val="center"/>
              <w:rPr>
                <w:rFonts w:ascii="Garamond" w:eastAsia="Times New Roman" w:hAnsi="Garamond" w:cs="Gisha"/>
                <w:color w:val="000000"/>
              </w:rPr>
            </w:pPr>
            <w:r w:rsidRPr="00DE22CE">
              <w:rPr>
                <w:rFonts w:ascii="Garamond" w:eastAsia="Times New Roman" w:hAnsi="Garamond" w:cs="Gisha"/>
                <w:color w:val="000000"/>
              </w:rPr>
              <w:t>-</w:t>
            </w:r>
          </w:p>
        </w:tc>
        <w:tc>
          <w:tcPr>
            <w:tcW w:w="2423" w:type="dxa"/>
            <w:tcBorders>
              <w:top w:val="nil"/>
              <w:left w:val="nil"/>
              <w:bottom w:val="single" w:sz="4" w:space="0" w:color="auto"/>
              <w:right w:val="single" w:sz="4" w:space="0" w:color="auto"/>
            </w:tcBorders>
          </w:tcPr>
          <w:p w:rsidR="005A44D0" w:rsidRPr="00DE22CE" w:rsidRDefault="005A44D0" w:rsidP="00AD0D89">
            <w:pPr>
              <w:jc w:val="center"/>
              <w:rPr>
                <w:rFonts w:ascii="Garamond" w:eastAsia="Times New Roman" w:hAnsi="Garamond" w:cs="Gisha"/>
                <w:color w:val="000000"/>
              </w:rPr>
            </w:pPr>
          </w:p>
        </w:tc>
      </w:tr>
    </w:tbl>
    <w:p w:rsidR="00DE22CE" w:rsidRDefault="00A92B77" w:rsidP="00A53490">
      <w:pPr>
        <w:pStyle w:val="Caption"/>
        <w:spacing w:before="0" w:after="0"/>
        <w:rPr>
          <w:rFonts w:cs="Gisha"/>
          <w:sz w:val="24"/>
          <w:szCs w:val="24"/>
        </w:rPr>
      </w:pPr>
      <w:r w:rsidRPr="00DE22CE">
        <w:t>Table 3: Egyptian PMN (-3200 to -1500)</w:t>
      </w:r>
      <w:r w:rsidR="00C1198D">
        <w:t xml:space="preserve"> (100 year intervals</w:t>
      </w:r>
      <w:r>
        <w:t>)</w:t>
      </w:r>
    </w:p>
    <w:p w:rsidR="000174B8" w:rsidRPr="000C203C" w:rsidRDefault="00A92B77" w:rsidP="000174B8">
      <w:pPr>
        <w:rPr>
          <w:rFonts w:ascii="Garamond" w:hAnsi="Garamond" w:cs="Gisha"/>
          <w:sz w:val="24"/>
          <w:szCs w:val="24"/>
        </w:rPr>
      </w:pPr>
      <w:r w:rsidRPr="007A2657">
        <w:rPr>
          <w:rFonts w:ascii="Garamond" w:hAnsi="Garamond" w:cs="Gisha"/>
          <w:sz w:val="24"/>
          <w:szCs w:val="24"/>
        </w:rPr>
        <w:t xml:space="preserve">Table 3 shows that the Egyptian correlation between city and state </w:t>
      </w:r>
      <w:r w:rsidR="00C002FC">
        <w:rPr>
          <w:rFonts w:ascii="Garamond" w:hAnsi="Garamond" w:cs="Gisha"/>
          <w:sz w:val="24"/>
          <w:szCs w:val="24"/>
        </w:rPr>
        <w:t xml:space="preserve">for the period between 2600 BCE and 1500 BCE </w:t>
      </w:r>
      <w:r w:rsidRPr="007A2657">
        <w:rPr>
          <w:rFonts w:ascii="Garamond" w:hAnsi="Garamond" w:cs="Gisha"/>
          <w:sz w:val="24"/>
          <w:szCs w:val="24"/>
        </w:rPr>
        <w:t>changes from .51</w:t>
      </w:r>
      <w:r w:rsidR="00C002FC">
        <w:rPr>
          <w:rFonts w:ascii="Garamond" w:hAnsi="Garamond" w:cs="Gisha"/>
          <w:sz w:val="24"/>
          <w:szCs w:val="24"/>
        </w:rPr>
        <w:t xml:space="preserve"> (Table 1) to .34</w:t>
      </w:r>
      <w:r w:rsidRPr="007A2657">
        <w:rPr>
          <w:rFonts w:ascii="Garamond" w:hAnsi="Garamond" w:cs="Gisha"/>
          <w:sz w:val="24"/>
          <w:szCs w:val="24"/>
        </w:rPr>
        <w:t xml:space="preserve"> when year is controlled. The positive bivariate correlations of both city and polity sizes with year were accounting for part of the positive correlation between city and polity sizes</w:t>
      </w:r>
      <w:r w:rsidR="00C002FC">
        <w:rPr>
          <w:rFonts w:ascii="Garamond" w:hAnsi="Garamond" w:cs="Gisha"/>
          <w:sz w:val="24"/>
          <w:szCs w:val="24"/>
        </w:rPr>
        <w:t>. The longer term partial correlation (3200 BCE to 1500 BCE) is also positive (.25).</w:t>
      </w:r>
    </w:p>
    <w:p w:rsidR="00A92B77" w:rsidRPr="00DE22CE" w:rsidRDefault="00A92B77" w:rsidP="00A53490">
      <w:pPr>
        <w:rPr>
          <w:rFonts w:ascii="Garamond" w:hAnsi="Garamond" w:cs="Gisha"/>
          <w:sz w:val="24"/>
          <w:szCs w:val="24"/>
        </w:rPr>
      </w:pPr>
    </w:p>
    <w:tbl>
      <w:tblPr>
        <w:tblW w:w="5894" w:type="dxa"/>
        <w:tblLook w:val="04A0" w:firstRow="1" w:lastRow="0" w:firstColumn="1" w:lastColumn="0" w:noHBand="0" w:noVBand="1"/>
      </w:tblPr>
      <w:tblGrid>
        <w:gridCol w:w="1984"/>
        <w:gridCol w:w="1232"/>
        <w:gridCol w:w="1337"/>
        <w:gridCol w:w="1341"/>
      </w:tblGrid>
      <w:tr w:rsidR="0048067E" w:rsidRPr="00E31164" w:rsidTr="00AD0D89">
        <w:trPr>
          <w:trHeight w:val="604"/>
        </w:trPr>
        <w:tc>
          <w:tcPr>
            <w:tcW w:w="32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67E" w:rsidRDefault="0048067E" w:rsidP="00AD0D89">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 xml:space="preserve">PMN / level                          </w:t>
            </w:r>
          </w:p>
          <w:p w:rsidR="0048067E" w:rsidRPr="00E31164" w:rsidRDefault="0048067E" w:rsidP="00AD0D89">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Partial Correlation</w:t>
            </w:r>
          </w:p>
        </w:tc>
        <w:tc>
          <w:tcPr>
            <w:tcW w:w="2678" w:type="dxa"/>
            <w:gridSpan w:val="2"/>
            <w:tcBorders>
              <w:top w:val="single" w:sz="4" w:space="0" w:color="auto"/>
              <w:left w:val="nil"/>
              <w:bottom w:val="single" w:sz="4" w:space="0" w:color="auto"/>
              <w:right w:val="single" w:sz="4" w:space="0" w:color="auto"/>
            </w:tcBorders>
            <w:shd w:val="clear" w:color="auto" w:fill="auto"/>
            <w:vAlign w:val="bottom"/>
            <w:hideMark/>
          </w:tcPr>
          <w:p w:rsidR="0048067E" w:rsidRPr="00E31164" w:rsidRDefault="0048067E" w:rsidP="00AD0D89">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South Asian PMN                       (-600 and 1000)</w:t>
            </w:r>
          </w:p>
        </w:tc>
      </w:tr>
      <w:tr w:rsidR="0048067E" w:rsidRPr="00E31164" w:rsidTr="00AD0D89">
        <w:trPr>
          <w:trHeight w:val="301"/>
        </w:trPr>
        <w:tc>
          <w:tcPr>
            <w:tcW w:w="3216" w:type="dxa"/>
            <w:gridSpan w:val="2"/>
            <w:vMerge/>
            <w:tcBorders>
              <w:top w:val="single" w:sz="4" w:space="0" w:color="auto"/>
              <w:left w:val="single" w:sz="4" w:space="0" w:color="auto"/>
              <w:bottom w:val="single" w:sz="4" w:space="0" w:color="auto"/>
              <w:right w:val="single" w:sz="4" w:space="0" w:color="auto"/>
            </w:tcBorders>
            <w:vAlign w:val="center"/>
            <w:hideMark/>
          </w:tcPr>
          <w:p w:rsidR="0048067E" w:rsidRPr="00E31164" w:rsidRDefault="0048067E" w:rsidP="00AD0D89">
            <w:pPr>
              <w:rPr>
                <w:rFonts w:ascii="Garamond" w:eastAsia="Times New Roman" w:hAnsi="Garamond" w:cs="Times New Roman"/>
                <w:b/>
                <w:bCs/>
                <w:color w:val="000000"/>
              </w:rPr>
            </w:pPr>
          </w:p>
        </w:tc>
        <w:tc>
          <w:tcPr>
            <w:tcW w:w="1337" w:type="dxa"/>
            <w:tcBorders>
              <w:top w:val="nil"/>
              <w:left w:val="nil"/>
              <w:bottom w:val="single" w:sz="4" w:space="0" w:color="auto"/>
              <w:right w:val="single" w:sz="4" w:space="0" w:color="auto"/>
            </w:tcBorders>
            <w:shd w:val="clear" w:color="auto" w:fill="auto"/>
            <w:noWrap/>
            <w:vAlign w:val="bottom"/>
            <w:hideMark/>
          </w:tcPr>
          <w:p w:rsidR="0048067E" w:rsidRPr="00E31164" w:rsidRDefault="0048067E" w:rsidP="00AD0D89">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city</w:t>
            </w:r>
          </w:p>
        </w:tc>
        <w:tc>
          <w:tcPr>
            <w:tcW w:w="1341" w:type="dxa"/>
            <w:tcBorders>
              <w:top w:val="nil"/>
              <w:left w:val="nil"/>
              <w:bottom w:val="single" w:sz="4" w:space="0" w:color="auto"/>
              <w:right w:val="single" w:sz="4" w:space="0" w:color="auto"/>
            </w:tcBorders>
            <w:shd w:val="clear" w:color="auto" w:fill="auto"/>
            <w:noWrap/>
            <w:vAlign w:val="bottom"/>
            <w:hideMark/>
          </w:tcPr>
          <w:p w:rsidR="0048067E" w:rsidRPr="00E31164" w:rsidRDefault="0048067E" w:rsidP="00AD0D89">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state</w:t>
            </w:r>
          </w:p>
        </w:tc>
      </w:tr>
      <w:tr w:rsidR="0048067E" w:rsidRPr="00E31164" w:rsidTr="00AD0D89">
        <w:trPr>
          <w:trHeight w:val="604"/>
        </w:trPr>
        <w:tc>
          <w:tcPr>
            <w:tcW w:w="1984" w:type="dxa"/>
            <w:vMerge w:val="restart"/>
            <w:tcBorders>
              <w:top w:val="nil"/>
              <w:left w:val="single" w:sz="4" w:space="0" w:color="auto"/>
              <w:bottom w:val="single" w:sz="4" w:space="0" w:color="auto"/>
              <w:right w:val="single" w:sz="4" w:space="0" w:color="auto"/>
            </w:tcBorders>
            <w:shd w:val="clear" w:color="auto" w:fill="auto"/>
            <w:vAlign w:val="bottom"/>
            <w:hideMark/>
          </w:tcPr>
          <w:p w:rsidR="0048067E" w:rsidRPr="00E31164" w:rsidRDefault="0048067E" w:rsidP="00A53490">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South Asian PMN                       (-600 and 1000)</w:t>
            </w:r>
          </w:p>
        </w:tc>
        <w:tc>
          <w:tcPr>
            <w:tcW w:w="1232" w:type="dxa"/>
            <w:tcBorders>
              <w:top w:val="nil"/>
              <w:left w:val="nil"/>
              <w:bottom w:val="single" w:sz="4" w:space="0" w:color="auto"/>
              <w:right w:val="single" w:sz="4" w:space="0" w:color="auto"/>
            </w:tcBorders>
            <w:shd w:val="clear" w:color="auto" w:fill="auto"/>
            <w:noWrap/>
            <w:vAlign w:val="bottom"/>
            <w:hideMark/>
          </w:tcPr>
          <w:p w:rsidR="0048067E" w:rsidRPr="00E31164" w:rsidRDefault="0048067E" w:rsidP="00A53490">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city</w:t>
            </w:r>
          </w:p>
        </w:tc>
        <w:tc>
          <w:tcPr>
            <w:tcW w:w="1337" w:type="dxa"/>
            <w:tcBorders>
              <w:top w:val="nil"/>
              <w:left w:val="nil"/>
              <w:bottom w:val="single" w:sz="4" w:space="0" w:color="auto"/>
              <w:right w:val="single" w:sz="4" w:space="0" w:color="auto"/>
            </w:tcBorders>
            <w:shd w:val="clear" w:color="auto" w:fill="auto"/>
            <w:noWrap/>
            <w:vAlign w:val="bottom"/>
            <w:hideMark/>
          </w:tcPr>
          <w:p w:rsidR="0048067E" w:rsidRPr="00E31164" w:rsidRDefault="0048067E" w:rsidP="00A53490">
            <w:pPr>
              <w:jc w:val="center"/>
              <w:rPr>
                <w:rFonts w:ascii="Garamond" w:eastAsia="Times New Roman" w:hAnsi="Garamond" w:cs="Times New Roman"/>
                <w:color w:val="000000"/>
              </w:rPr>
            </w:pPr>
            <w:r w:rsidRPr="00E31164">
              <w:rPr>
                <w:rFonts w:ascii="Garamond" w:eastAsia="Times New Roman" w:hAnsi="Garamond" w:cs="Times New Roman"/>
                <w:color w:val="000000"/>
              </w:rPr>
              <w:t>-</w:t>
            </w:r>
          </w:p>
        </w:tc>
        <w:tc>
          <w:tcPr>
            <w:tcW w:w="1341" w:type="dxa"/>
            <w:tcBorders>
              <w:top w:val="nil"/>
              <w:left w:val="nil"/>
              <w:bottom w:val="single" w:sz="4" w:space="0" w:color="auto"/>
              <w:right w:val="single" w:sz="4" w:space="0" w:color="auto"/>
            </w:tcBorders>
            <w:shd w:val="clear" w:color="auto" w:fill="auto"/>
            <w:vAlign w:val="bottom"/>
            <w:hideMark/>
          </w:tcPr>
          <w:p w:rsidR="0048067E" w:rsidRPr="0048067E" w:rsidRDefault="0048067E" w:rsidP="00A53490">
            <w:pPr>
              <w:jc w:val="center"/>
              <w:rPr>
                <w:rFonts w:ascii="Garamond" w:eastAsia="Times New Roman" w:hAnsi="Garamond" w:cs="Times New Roman"/>
                <w:color w:val="000000"/>
              </w:rPr>
            </w:pPr>
            <w:r>
              <w:rPr>
                <w:rFonts w:ascii="Garamond" w:eastAsia="Times New Roman" w:hAnsi="Garamond" w:cs="Times New Roman"/>
                <w:color w:val="000000"/>
              </w:rPr>
              <w:t>.</w:t>
            </w:r>
            <w:r>
              <w:t xml:space="preserve"> </w:t>
            </w:r>
            <w:r w:rsidR="00A92B77">
              <w:rPr>
                <w:rFonts w:ascii="Garamond" w:eastAsia="Times New Roman" w:hAnsi="Garamond" w:cs="Times New Roman"/>
                <w:color w:val="000000"/>
              </w:rPr>
              <w:t>38</w:t>
            </w:r>
            <w:r w:rsidRPr="0048067E">
              <w:rPr>
                <w:rFonts w:ascii="Garamond" w:eastAsia="Times New Roman" w:hAnsi="Garamond" w:cs="Times New Roman"/>
                <w:color w:val="000000"/>
              </w:rPr>
              <w:t>*</w:t>
            </w:r>
          </w:p>
          <w:p w:rsidR="0048067E" w:rsidRPr="00E31164" w:rsidRDefault="0048067E" w:rsidP="00A53490">
            <w:pPr>
              <w:jc w:val="center"/>
              <w:rPr>
                <w:rFonts w:ascii="Garamond" w:eastAsia="Times New Roman" w:hAnsi="Garamond" w:cs="Times New Roman"/>
                <w:color w:val="000000"/>
              </w:rPr>
            </w:pPr>
            <w:r w:rsidRPr="0048067E">
              <w:rPr>
                <w:rFonts w:ascii="Garamond" w:eastAsia="Times New Roman" w:hAnsi="Garamond" w:cs="Times New Roman"/>
                <w:color w:val="000000"/>
              </w:rPr>
              <w:t>(.032)</w:t>
            </w:r>
          </w:p>
        </w:tc>
      </w:tr>
      <w:tr w:rsidR="0048067E" w:rsidRPr="00E31164" w:rsidTr="00AD0D89">
        <w:trPr>
          <w:trHeight w:val="604"/>
        </w:trPr>
        <w:tc>
          <w:tcPr>
            <w:tcW w:w="1984" w:type="dxa"/>
            <w:vMerge/>
            <w:tcBorders>
              <w:top w:val="nil"/>
              <w:left w:val="single" w:sz="4" w:space="0" w:color="auto"/>
              <w:bottom w:val="single" w:sz="4" w:space="0" w:color="auto"/>
              <w:right w:val="single" w:sz="4" w:space="0" w:color="auto"/>
            </w:tcBorders>
            <w:vAlign w:val="center"/>
            <w:hideMark/>
          </w:tcPr>
          <w:p w:rsidR="0048067E" w:rsidRPr="00E31164" w:rsidRDefault="0048067E" w:rsidP="00A53490">
            <w:pPr>
              <w:rPr>
                <w:rFonts w:ascii="Garamond" w:eastAsia="Times New Roman" w:hAnsi="Garamond" w:cs="Times New Roman"/>
                <w:b/>
                <w:bCs/>
                <w:color w:val="000000"/>
              </w:rPr>
            </w:pPr>
          </w:p>
        </w:tc>
        <w:tc>
          <w:tcPr>
            <w:tcW w:w="1232" w:type="dxa"/>
            <w:tcBorders>
              <w:top w:val="nil"/>
              <w:left w:val="nil"/>
              <w:bottom w:val="single" w:sz="4" w:space="0" w:color="auto"/>
              <w:right w:val="single" w:sz="4" w:space="0" w:color="auto"/>
            </w:tcBorders>
            <w:shd w:val="clear" w:color="auto" w:fill="auto"/>
            <w:noWrap/>
            <w:vAlign w:val="bottom"/>
            <w:hideMark/>
          </w:tcPr>
          <w:p w:rsidR="0048067E" w:rsidRPr="00E31164" w:rsidRDefault="0048067E" w:rsidP="00A53490">
            <w:pPr>
              <w:jc w:val="center"/>
              <w:rPr>
                <w:rFonts w:ascii="Garamond" w:eastAsia="Times New Roman" w:hAnsi="Garamond" w:cs="Times New Roman"/>
                <w:b/>
                <w:bCs/>
                <w:color w:val="000000"/>
              </w:rPr>
            </w:pPr>
            <w:r w:rsidRPr="00E31164">
              <w:rPr>
                <w:rFonts w:ascii="Garamond" w:eastAsia="Times New Roman" w:hAnsi="Garamond" w:cs="Times New Roman"/>
                <w:b/>
                <w:bCs/>
                <w:color w:val="000000"/>
              </w:rPr>
              <w:t>state</w:t>
            </w:r>
          </w:p>
        </w:tc>
        <w:tc>
          <w:tcPr>
            <w:tcW w:w="1337" w:type="dxa"/>
            <w:tcBorders>
              <w:top w:val="nil"/>
              <w:left w:val="nil"/>
              <w:bottom w:val="single" w:sz="4" w:space="0" w:color="auto"/>
              <w:right w:val="single" w:sz="4" w:space="0" w:color="auto"/>
            </w:tcBorders>
            <w:shd w:val="clear" w:color="auto" w:fill="auto"/>
            <w:vAlign w:val="bottom"/>
            <w:hideMark/>
          </w:tcPr>
          <w:p w:rsidR="0048067E" w:rsidRPr="0048067E" w:rsidRDefault="0048067E" w:rsidP="00A53490">
            <w:pPr>
              <w:jc w:val="center"/>
              <w:rPr>
                <w:rFonts w:ascii="Garamond" w:eastAsia="Times New Roman" w:hAnsi="Garamond" w:cs="Times New Roman"/>
                <w:color w:val="000000"/>
              </w:rPr>
            </w:pPr>
            <w:r>
              <w:rPr>
                <w:rFonts w:ascii="Garamond" w:eastAsia="Times New Roman" w:hAnsi="Garamond" w:cs="Times New Roman"/>
                <w:color w:val="000000"/>
              </w:rPr>
              <w:t>.</w:t>
            </w:r>
            <w:r>
              <w:t xml:space="preserve"> </w:t>
            </w:r>
            <w:r w:rsidR="00A92B77">
              <w:rPr>
                <w:rFonts w:ascii="Garamond" w:eastAsia="Times New Roman" w:hAnsi="Garamond" w:cs="Times New Roman"/>
                <w:color w:val="000000"/>
              </w:rPr>
              <w:t>38</w:t>
            </w:r>
            <w:r w:rsidRPr="0048067E">
              <w:rPr>
                <w:rFonts w:ascii="Garamond" w:eastAsia="Times New Roman" w:hAnsi="Garamond" w:cs="Times New Roman"/>
                <w:color w:val="000000"/>
              </w:rPr>
              <w:t>*</w:t>
            </w:r>
          </w:p>
          <w:p w:rsidR="0048067E" w:rsidRPr="00E31164" w:rsidRDefault="0048067E" w:rsidP="00A53490">
            <w:pPr>
              <w:jc w:val="center"/>
              <w:rPr>
                <w:rFonts w:ascii="Garamond" w:eastAsia="Times New Roman" w:hAnsi="Garamond" w:cs="Times New Roman"/>
                <w:color w:val="000000"/>
              </w:rPr>
            </w:pPr>
            <w:r w:rsidRPr="0048067E">
              <w:rPr>
                <w:rFonts w:ascii="Garamond" w:eastAsia="Times New Roman" w:hAnsi="Garamond" w:cs="Times New Roman"/>
                <w:color w:val="000000"/>
              </w:rPr>
              <w:t>(.032)</w:t>
            </w:r>
          </w:p>
        </w:tc>
        <w:tc>
          <w:tcPr>
            <w:tcW w:w="1341" w:type="dxa"/>
            <w:tcBorders>
              <w:top w:val="nil"/>
              <w:left w:val="nil"/>
              <w:bottom w:val="single" w:sz="4" w:space="0" w:color="auto"/>
              <w:right w:val="single" w:sz="4" w:space="0" w:color="auto"/>
            </w:tcBorders>
            <w:shd w:val="clear" w:color="auto" w:fill="auto"/>
            <w:noWrap/>
            <w:vAlign w:val="bottom"/>
            <w:hideMark/>
          </w:tcPr>
          <w:p w:rsidR="0048067E" w:rsidRPr="00E31164" w:rsidRDefault="0048067E" w:rsidP="00A53490">
            <w:pPr>
              <w:jc w:val="center"/>
              <w:rPr>
                <w:rFonts w:ascii="Garamond" w:eastAsia="Times New Roman" w:hAnsi="Garamond" w:cs="Times New Roman"/>
                <w:color w:val="000000"/>
              </w:rPr>
            </w:pPr>
            <w:r w:rsidRPr="00E31164">
              <w:rPr>
                <w:rFonts w:ascii="Garamond" w:eastAsia="Times New Roman" w:hAnsi="Garamond" w:cs="Times New Roman"/>
                <w:color w:val="000000"/>
              </w:rPr>
              <w:t>-</w:t>
            </w:r>
          </w:p>
        </w:tc>
      </w:tr>
    </w:tbl>
    <w:p w:rsidR="00DE22CE" w:rsidRDefault="00A92B77" w:rsidP="00A53490">
      <w:pPr>
        <w:pStyle w:val="Caption"/>
        <w:spacing w:before="0" w:after="0"/>
        <w:rPr>
          <w:rFonts w:ascii="Garamond" w:hAnsi="Garamond" w:cs="Gisha"/>
          <w:sz w:val="24"/>
          <w:szCs w:val="24"/>
        </w:rPr>
      </w:pPr>
      <w:r>
        <w:t xml:space="preserve">Table 4: </w:t>
      </w:r>
      <w:r w:rsidRPr="00D605D9">
        <w:t xml:space="preserve">South Asian PMN </w:t>
      </w:r>
      <w:r>
        <w:t>(</w:t>
      </w:r>
      <w:r w:rsidRPr="00D605D9">
        <w:t>-600 and 1000</w:t>
      </w:r>
      <w:r>
        <w:t>) (50 year intervals, N=29)</w:t>
      </w:r>
    </w:p>
    <w:p w:rsidR="0048067E" w:rsidRDefault="00A92B77" w:rsidP="00A53490">
      <w:pPr>
        <w:rPr>
          <w:rFonts w:ascii="Garamond" w:hAnsi="Garamond" w:cs="Gisha"/>
          <w:sz w:val="24"/>
          <w:szCs w:val="24"/>
        </w:rPr>
      </w:pPr>
      <w:r>
        <w:rPr>
          <w:rFonts w:ascii="Garamond" w:hAnsi="Garamond" w:cs="Gisha"/>
          <w:sz w:val="24"/>
          <w:szCs w:val="24"/>
        </w:rPr>
        <w:t>Table 4 shows that the city and state correlation for the South Asian PMN changes from .28 to .38 when year is controlled and this correlation is statistically significant at the .05 level. Again the higher correlation arises when year is controlled because the bivariate correlatio</w:t>
      </w:r>
      <w:r w:rsidR="00922A4B">
        <w:rPr>
          <w:rFonts w:ascii="Garamond" w:hAnsi="Garamond" w:cs="Gisha"/>
          <w:sz w:val="24"/>
          <w:szCs w:val="24"/>
        </w:rPr>
        <w:t>ns with year are both negative (see Table 1).</w:t>
      </w:r>
    </w:p>
    <w:tbl>
      <w:tblPr>
        <w:tblW w:w="5755" w:type="dxa"/>
        <w:tblLook w:val="04A0" w:firstRow="1" w:lastRow="0" w:firstColumn="1" w:lastColumn="0" w:noHBand="0" w:noVBand="1"/>
      </w:tblPr>
      <w:tblGrid>
        <w:gridCol w:w="2151"/>
        <w:gridCol w:w="1203"/>
        <w:gridCol w:w="1199"/>
        <w:gridCol w:w="1202"/>
      </w:tblGrid>
      <w:tr w:rsidR="0048067E" w:rsidRPr="00945178" w:rsidTr="00AD0D89">
        <w:trPr>
          <w:trHeight w:val="539"/>
        </w:trPr>
        <w:tc>
          <w:tcPr>
            <w:tcW w:w="33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67E" w:rsidRPr="00945178" w:rsidRDefault="0048067E" w:rsidP="00AD0D89">
            <w:pPr>
              <w:jc w:val="center"/>
              <w:rPr>
                <w:rFonts w:ascii="Garamond" w:eastAsia="Times New Roman" w:hAnsi="Garamond" w:cs="Times New Roman"/>
                <w:b/>
                <w:bCs/>
                <w:color w:val="000000"/>
              </w:rPr>
            </w:pPr>
            <w:r w:rsidRPr="00945178">
              <w:rPr>
                <w:rFonts w:ascii="Garamond" w:eastAsia="Times New Roman" w:hAnsi="Garamond" w:cs="Times New Roman"/>
                <w:b/>
                <w:bCs/>
                <w:color w:val="000000"/>
              </w:rPr>
              <w:t>PMN / level                          Partial Correlation</w:t>
            </w:r>
          </w:p>
        </w:tc>
        <w:tc>
          <w:tcPr>
            <w:tcW w:w="2401" w:type="dxa"/>
            <w:gridSpan w:val="2"/>
            <w:tcBorders>
              <w:top w:val="single" w:sz="4" w:space="0" w:color="auto"/>
              <w:left w:val="nil"/>
              <w:bottom w:val="single" w:sz="4" w:space="0" w:color="auto"/>
              <w:right w:val="single" w:sz="4" w:space="0" w:color="auto"/>
            </w:tcBorders>
            <w:shd w:val="clear" w:color="auto" w:fill="auto"/>
            <w:vAlign w:val="bottom"/>
            <w:hideMark/>
          </w:tcPr>
          <w:p w:rsidR="0048067E" w:rsidRPr="00945178" w:rsidRDefault="0048067E" w:rsidP="00AD0D89">
            <w:pPr>
              <w:jc w:val="center"/>
              <w:rPr>
                <w:rFonts w:ascii="Garamond" w:eastAsia="Times New Roman" w:hAnsi="Garamond" w:cs="Times New Roman"/>
                <w:b/>
                <w:bCs/>
                <w:color w:val="000000"/>
              </w:rPr>
            </w:pPr>
            <w:r w:rsidRPr="00945178">
              <w:rPr>
                <w:rFonts w:ascii="Garamond" w:eastAsia="Times New Roman" w:hAnsi="Garamond" w:cs="Times New Roman"/>
                <w:b/>
                <w:bCs/>
                <w:color w:val="000000"/>
              </w:rPr>
              <w:t xml:space="preserve">East Asian PMN         </w:t>
            </w:r>
            <w:r>
              <w:rPr>
                <w:rFonts w:ascii="Garamond" w:eastAsia="Times New Roman" w:hAnsi="Garamond" w:cs="Times New Roman"/>
                <w:b/>
                <w:bCs/>
                <w:color w:val="000000"/>
              </w:rPr>
              <w:t xml:space="preserve">  </w:t>
            </w:r>
            <w:r w:rsidRPr="00945178">
              <w:rPr>
                <w:rFonts w:ascii="Garamond" w:eastAsia="Times New Roman" w:hAnsi="Garamond" w:cs="Times New Roman"/>
                <w:b/>
                <w:bCs/>
                <w:color w:val="000000"/>
              </w:rPr>
              <w:t>(-1900 to 1800)</w:t>
            </w:r>
          </w:p>
        </w:tc>
      </w:tr>
      <w:tr w:rsidR="0048067E" w:rsidRPr="00945178" w:rsidTr="00AD0D89">
        <w:trPr>
          <w:trHeight w:val="268"/>
        </w:trPr>
        <w:tc>
          <w:tcPr>
            <w:tcW w:w="3354" w:type="dxa"/>
            <w:gridSpan w:val="2"/>
            <w:vMerge/>
            <w:tcBorders>
              <w:top w:val="single" w:sz="4" w:space="0" w:color="auto"/>
              <w:left w:val="single" w:sz="4" w:space="0" w:color="auto"/>
              <w:bottom w:val="single" w:sz="4" w:space="0" w:color="auto"/>
              <w:right w:val="single" w:sz="4" w:space="0" w:color="auto"/>
            </w:tcBorders>
            <w:vAlign w:val="center"/>
            <w:hideMark/>
          </w:tcPr>
          <w:p w:rsidR="0048067E" w:rsidRPr="00945178" w:rsidRDefault="0048067E" w:rsidP="00AD0D89">
            <w:pPr>
              <w:rPr>
                <w:rFonts w:ascii="Garamond" w:eastAsia="Times New Roman" w:hAnsi="Garamond" w:cs="Times New Roman"/>
                <w:b/>
                <w:bCs/>
                <w:color w:val="000000"/>
              </w:rPr>
            </w:pPr>
          </w:p>
        </w:tc>
        <w:tc>
          <w:tcPr>
            <w:tcW w:w="1199" w:type="dxa"/>
            <w:tcBorders>
              <w:top w:val="nil"/>
              <w:left w:val="nil"/>
              <w:bottom w:val="single" w:sz="4" w:space="0" w:color="auto"/>
              <w:right w:val="single" w:sz="4" w:space="0" w:color="auto"/>
            </w:tcBorders>
            <w:shd w:val="clear" w:color="auto" w:fill="auto"/>
            <w:noWrap/>
            <w:vAlign w:val="bottom"/>
            <w:hideMark/>
          </w:tcPr>
          <w:p w:rsidR="0048067E" w:rsidRPr="00945178" w:rsidRDefault="0048067E" w:rsidP="00AD0D89">
            <w:pPr>
              <w:jc w:val="center"/>
              <w:rPr>
                <w:rFonts w:ascii="Garamond" w:eastAsia="Times New Roman" w:hAnsi="Garamond" w:cs="Times New Roman"/>
                <w:b/>
                <w:bCs/>
                <w:color w:val="000000"/>
              </w:rPr>
            </w:pPr>
            <w:r w:rsidRPr="00945178">
              <w:rPr>
                <w:rFonts w:ascii="Garamond" w:eastAsia="Times New Roman" w:hAnsi="Garamond" w:cs="Times New Roman"/>
                <w:b/>
                <w:bCs/>
                <w:color w:val="000000"/>
              </w:rPr>
              <w:t>city</w:t>
            </w:r>
          </w:p>
        </w:tc>
        <w:tc>
          <w:tcPr>
            <w:tcW w:w="1202" w:type="dxa"/>
            <w:tcBorders>
              <w:top w:val="nil"/>
              <w:left w:val="nil"/>
              <w:bottom w:val="single" w:sz="4" w:space="0" w:color="auto"/>
              <w:right w:val="single" w:sz="4" w:space="0" w:color="auto"/>
            </w:tcBorders>
            <w:shd w:val="clear" w:color="auto" w:fill="auto"/>
            <w:noWrap/>
            <w:vAlign w:val="bottom"/>
            <w:hideMark/>
          </w:tcPr>
          <w:p w:rsidR="0048067E" w:rsidRPr="00945178" w:rsidRDefault="0048067E" w:rsidP="00AD0D89">
            <w:pPr>
              <w:jc w:val="center"/>
              <w:rPr>
                <w:rFonts w:ascii="Garamond" w:eastAsia="Times New Roman" w:hAnsi="Garamond" w:cs="Times New Roman"/>
                <w:b/>
                <w:bCs/>
                <w:color w:val="000000"/>
              </w:rPr>
            </w:pPr>
            <w:r w:rsidRPr="00945178">
              <w:rPr>
                <w:rFonts w:ascii="Garamond" w:eastAsia="Times New Roman" w:hAnsi="Garamond" w:cs="Times New Roman"/>
                <w:b/>
                <w:bCs/>
                <w:color w:val="000000"/>
              </w:rPr>
              <w:t>state</w:t>
            </w:r>
          </w:p>
        </w:tc>
      </w:tr>
      <w:tr w:rsidR="0048067E" w:rsidRPr="00945178" w:rsidTr="00AD0D89">
        <w:trPr>
          <w:trHeight w:val="539"/>
        </w:trPr>
        <w:tc>
          <w:tcPr>
            <w:tcW w:w="2151" w:type="dxa"/>
            <w:vMerge w:val="restart"/>
            <w:tcBorders>
              <w:top w:val="nil"/>
              <w:left w:val="single" w:sz="4" w:space="0" w:color="auto"/>
              <w:bottom w:val="single" w:sz="4" w:space="0" w:color="auto"/>
              <w:right w:val="single" w:sz="4" w:space="0" w:color="auto"/>
            </w:tcBorders>
            <w:shd w:val="clear" w:color="auto" w:fill="auto"/>
            <w:vAlign w:val="bottom"/>
            <w:hideMark/>
          </w:tcPr>
          <w:p w:rsidR="0048067E" w:rsidRPr="00945178" w:rsidRDefault="0048067E" w:rsidP="00AD0D89">
            <w:pPr>
              <w:jc w:val="center"/>
              <w:rPr>
                <w:rFonts w:ascii="Garamond" w:eastAsia="Times New Roman" w:hAnsi="Garamond" w:cs="Times New Roman"/>
                <w:b/>
                <w:bCs/>
                <w:color w:val="000000"/>
              </w:rPr>
            </w:pPr>
            <w:r w:rsidRPr="00945178">
              <w:rPr>
                <w:rFonts w:ascii="Garamond" w:eastAsia="Times New Roman" w:hAnsi="Garamond" w:cs="Times New Roman"/>
                <w:b/>
                <w:bCs/>
                <w:color w:val="000000"/>
              </w:rPr>
              <w:t>East Asian PMN         (-1900 to 1800)</w:t>
            </w:r>
          </w:p>
        </w:tc>
        <w:tc>
          <w:tcPr>
            <w:tcW w:w="1203" w:type="dxa"/>
            <w:tcBorders>
              <w:top w:val="nil"/>
              <w:left w:val="nil"/>
              <w:bottom w:val="single" w:sz="4" w:space="0" w:color="auto"/>
              <w:right w:val="single" w:sz="4" w:space="0" w:color="auto"/>
            </w:tcBorders>
            <w:shd w:val="clear" w:color="auto" w:fill="auto"/>
            <w:noWrap/>
            <w:vAlign w:val="bottom"/>
            <w:hideMark/>
          </w:tcPr>
          <w:p w:rsidR="0048067E" w:rsidRPr="00945178" w:rsidRDefault="0048067E" w:rsidP="00AD0D89">
            <w:pPr>
              <w:jc w:val="center"/>
              <w:rPr>
                <w:rFonts w:ascii="Garamond" w:eastAsia="Times New Roman" w:hAnsi="Garamond" w:cs="Times New Roman"/>
                <w:b/>
                <w:bCs/>
                <w:color w:val="000000"/>
              </w:rPr>
            </w:pPr>
            <w:r w:rsidRPr="00945178">
              <w:rPr>
                <w:rFonts w:ascii="Garamond" w:eastAsia="Times New Roman" w:hAnsi="Garamond" w:cs="Times New Roman"/>
                <w:b/>
                <w:bCs/>
                <w:color w:val="000000"/>
              </w:rPr>
              <w:t>city</w:t>
            </w:r>
          </w:p>
        </w:tc>
        <w:tc>
          <w:tcPr>
            <w:tcW w:w="1199" w:type="dxa"/>
            <w:tcBorders>
              <w:top w:val="nil"/>
              <w:left w:val="nil"/>
              <w:bottom w:val="single" w:sz="4" w:space="0" w:color="auto"/>
              <w:right w:val="single" w:sz="4" w:space="0" w:color="auto"/>
            </w:tcBorders>
            <w:shd w:val="clear" w:color="auto" w:fill="auto"/>
            <w:noWrap/>
            <w:vAlign w:val="bottom"/>
            <w:hideMark/>
          </w:tcPr>
          <w:p w:rsidR="0048067E" w:rsidRPr="00945178" w:rsidRDefault="0048067E" w:rsidP="00AD0D89">
            <w:pPr>
              <w:jc w:val="center"/>
              <w:rPr>
                <w:rFonts w:ascii="Garamond" w:eastAsia="Times New Roman" w:hAnsi="Garamond" w:cs="Times New Roman"/>
                <w:color w:val="000000"/>
              </w:rPr>
            </w:pPr>
            <w:r w:rsidRPr="00945178">
              <w:rPr>
                <w:rFonts w:ascii="Garamond" w:eastAsia="Times New Roman" w:hAnsi="Garamond" w:cs="Times New Roman"/>
                <w:color w:val="000000"/>
              </w:rPr>
              <w:t>-</w:t>
            </w:r>
          </w:p>
        </w:tc>
        <w:tc>
          <w:tcPr>
            <w:tcW w:w="1202" w:type="dxa"/>
            <w:tcBorders>
              <w:top w:val="nil"/>
              <w:left w:val="nil"/>
              <w:bottom w:val="single" w:sz="4" w:space="0" w:color="auto"/>
              <w:right w:val="single" w:sz="4" w:space="0" w:color="auto"/>
            </w:tcBorders>
            <w:shd w:val="clear" w:color="auto" w:fill="auto"/>
            <w:vAlign w:val="bottom"/>
            <w:hideMark/>
          </w:tcPr>
          <w:p w:rsidR="0048067E" w:rsidRPr="0048067E" w:rsidRDefault="00B25791" w:rsidP="0048067E">
            <w:pPr>
              <w:jc w:val="center"/>
              <w:rPr>
                <w:rFonts w:ascii="Garamond" w:eastAsia="Times New Roman" w:hAnsi="Garamond" w:cs="Times New Roman"/>
                <w:color w:val="000000"/>
              </w:rPr>
            </w:pPr>
            <w:r>
              <w:rPr>
                <w:rFonts w:ascii="Garamond" w:eastAsia="Times New Roman" w:hAnsi="Garamond" w:cs="Times New Roman"/>
                <w:color w:val="000000"/>
              </w:rPr>
              <w:t>.02</w:t>
            </w:r>
          </w:p>
          <w:p w:rsidR="0048067E" w:rsidRPr="00945178" w:rsidRDefault="0048067E" w:rsidP="0048067E">
            <w:pPr>
              <w:jc w:val="center"/>
              <w:rPr>
                <w:rFonts w:ascii="Garamond" w:eastAsia="Times New Roman" w:hAnsi="Garamond" w:cs="Times New Roman"/>
                <w:color w:val="000000"/>
              </w:rPr>
            </w:pPr>
            <w:r w:rsidRPr="0048067E">
              <w:rPr>
                <w:rFonts w:ascii="Garamond" w:eastAsia="Times New Roman" w:hAnsi="Garamond" w:cs="Times New Roman"/>
                <w:color w:val="000000"/>
              </w:rPr>
              <w:t>(.835)</w:t>
            </w:r>
          </w:p>
        </w:tc>
      </w:tr>
      <w:tr w:rsidR="0048067E" w:rsidRPr="00945178" w:rsidTr="00AD0D89">
        <w:trPr>
          <w:trHeight w:val="539"/>
        </w:trPr>
        <w:tc>
          <w:tcPr>
            <w:tcW w:w="2151" w:type="dxa"/>
            <w:vMerge/>
            <w:tcBorders>
              <w:top w:val="nil"/>
              <w:left w:val="single" w:sz="4" w:space="0" w:color="auto"/>
              <w:bottom w:val="single" w:sz="4" w:space="0" w:color="auto"/>
              <w:right w:val="single" w:sz="4" w:space="0" w:color="auto"/>
            </w:tcBorders>
            <w:vAlign w:val="center"/>
            <w:hideMark/>
          </w:tcPr>
          <w:p w:rsidR="0048067E" w:rsidRPr="00945178" w:rsidRDefault="0048067E" w:rsidP="00AD0D89">
            <w:pPr>
              <w:rPr>
                <w:rFonts w:ascii="Garamond" w:eastAsia="Times New Roman" w:hAnsi="Garamond" w:cs="Times New Roman"/>
                <w:b/>
                <w:bCs/>
                <w:color w:val="000000"/>
              </w:rPr>
            </w:pPr>
          </w:p>
        </w:tc>
        <w:tc>
          <w:tcPr>
            <w:tcW w:w="1203" w:type="dxa"/>
            <w:tcBorders>
              <w:top w:val="nil"/>
              <w:left w:val="nil"/>
              <w:bottom w:val="single" w:sz="4" w:space="0" w:color="auto"/>
              <w:right w:val="single" w:sz="4" w:space="0" w:color="auto"/>
            </w:tcBorders>
            <w:shd w:val="clear" w:color="auto" w:fill="auto"/>
            <w:noWrap/>
            <w:vAlign w:val="bottom"/>
            <w:hideMark/>
          </w:tcPr>
          <w:p w:rsidR="0048067E" w:rsidRPr="00945178" w:rsidRDefault="0048067E" w:rsidP="00AD0D89">
            <w:pPr>
              <w:jc w:val="center"/>
              <w:rPr>
                <w:rFonts w:ascii="Garamond" w:eastAsia="Times New Roman" w:hAnsi="Garamond" w:cs="Times New Roman"/>
                <w:b/>
                <w:bCs/>
                <w:color w:val="000000"/>
              </w:rPr>
            </w:pPr>
            <w:r w:rsidRPr="00945178">
              <w:rPr>
                <w:rFonts w:ascii="Garamond" w:eastAsia="Times New Roman" w:hAnsi="Garamond" w:cs="Times New Roman"/>
                <w:b/>
                <w:bCs/>
                <w:color w:val="000000"/>
              </w:rPr>
              <w:t>state</w:t>
            </w:r>
          </w:p>
        </w:tc>
        <w:tc>
          <w:tcPr>
            <w:tcW w:w="1199" w:type="dxa"/>
            <w:tcBorders>
              <w:top w:val="nil"/>
              <w:left w:val="nil"/>
              <w:bottom w:val="single" w:sz="4" w:space="0" w:color="auto"/>
              <w:right w:val="single" w:sz="4" w:space="0" w:color="auto"/>
            </w:tcBorders>
            <w:shd w:val="clear" w:color="auto" w:fill="auto"/>
            <w:vAlign w:val="bottom"/>
            <w:hideMark/>
          </w:tcPr>
          <w:p w:rsidR="0048067E" w:rsidRPr="0048067E" w:rsidRDefault="00B25791" w:rsidP="0048067E">
            <w:pPr>
              <w:jc w:val="center"/>
              <w:rPr>
                <w:rFonts w:ascii="Garamond" w:eastAsia="Times New Roman" w:hAnsi="Garamond" w:cs="Times New Roman"/>
                <w:color w:val="000000"/>
              </w:rPr>
            </w:pPr>
            <w:r>
              <w:rPr>
                <w:rFonts w:ascii="Garamond" w:eastAsia="Times New Roman" w:hAnsi="Garamond" w:cs="Times New Roman"/>
                <w:color w:val="000000"/>
              </w:rPr>
              <w:t>.02</w:t>
            </w:r>
          </w:p>
          <w:p w:rsidR="0048067E" w:rsidRPr="00945178" w:rsidRDefault="0048067E" w:rsidP="0048067E">
            <w:pPr>
              <w:jc w:val="center"/>
              <w:rPr>
                <w:rFonts w:ascii="Garamond" w:eastAsia="Times New Roman" w:hAnsi="Garamond" w:cs="Times New Roman"/>
                <w:color w:val="000000"/>
              </w:rPr>
            </w:pPr>
            <w:r w:rsidRPr="0048067E">
              <w:rPr>
                <w:rFonts w:ascii="Garamond" w:eastAsia="Times New Roman" w:hAnsi="Garamond" w:cs="Times New Roman"/>
                <w:color w:val="000000"/>
              </w:rPr>
              <w:t>(.835)</w:t>
            </w:r>
          </w:p>
        </w:tc>
        <w:tc>
          <w:tcPr>
            <w:tcW w:w="1202" w:type="dxa"/>
            <w:tcBorders>
              <w:top w:val="nil"/>
              <w:left w:val="nil"/>
              <w:bottom w:val="single" w:sz="4" w:space="0" w:color="auto"/>
              <w:right w:val="single" w:sz="4" w:space="0" w:color="auto"/>
            </w:tcBorders>
            <w:shd w:val="clear" w:color="auto" w:fill="auto"/>
            <w:noWrap/>
            <w:vAlign w:val="bottom"/>
            <w:hideMark/>
          </w:tcPr>
          <w:p w:rsidR="0048067E" w:rsidRPr="00945178" w:rsidRDefault="0048067E" w:rsidP="00AD0D89">
            <w:pPr>
              <w:jc w:val="center"/>
              <w:rPr>
                <w:rFonts w:ascii="Garamond" w:eastAsia="Times New Roman" w:hAnsi="Garamond" w:cs="Times New Roman"/>
                <w:color w:val="000000"/>
              </w:rPr>
            </w:pPr>
            <w:r w:rsidRPr="00945178">
              <w:rPr>
                <w:rFonts w:ascii="Garamond" w:eastAsia="Times New Roman" w:hAnsi="Garamond" w:cs="Times New Roman"/>
                <w:color w:val="000000"/>
              </w:rPr>
              <w:t>-</w:t>
            </w:r>
          </w:p>
        </w:tc>
      </w:tr>
    </w:tbl>
    <w:p w:rsidR="00DE22CE" w:rsidRDefault="00B25791" w:rsidP="00B25791">
      <w:pPr>
        <w:pStyle w:val="Caption"/>
      </w:pPr>
      <w:r>
        <w:lastRenderedPageBreak/>
        <w:t xml:space="preserve">Table 5: </w:t>
      </w:r>
      <w:r w:rsidRPr="00D605D9">
        <w:t>East Asian PMN</w:t>
      </w:r>
      <w:r>
        <w:t xml:space="preserve"> (</w:t>
      </w:r>
      <w:r w:rsidRPr="00D605D9">
        <w:t>-1900 to 1800</w:t>
      </w:r>
      <w:r>
        <w:t>) (50 year interval; N=57)</w:t>
      </w:r>
    </w:p>
    <w:p w:rsidR="00DE22CE" w:rsidRPr="00AD0D89" w:rsidRDefault="00B25791" w:rsidP="00A43EB2">
      <w:pPr>
        <w:rPr>
          <w:rFonts w:ascii="Garamond" w:hAnsi="Garamond" w:cs="Gisha"/>
          <w:sz w:val="24"/>
          <w:szCs w:val="24"/>
        </w:rPr>
      </w:pPr>
      <w:r w:rsidRPr="00AD0D89">
        <w:rPr>
          <w:rFonts w:ascii="Garamond" w:hAnsi="Garamond" w:cs="Gisha"/>
          <w:sz w:val="24"/>
          <w:szCs w:val="24"/>
        </w:rPr>
        <w:t xml:space="preserve">Table 5 shows that the East Asian correlation is reduced from .49 to .02 when year is controlled. </w:t>
      </w:r>
      <w:r w:rsidR="00C1198D">
        <w:rPr>
          <w:rFonts w:ascii="Garamond" w:hAnsi="Garamond" w:cs="Gisha"/>
          <w:sz w:val="24"/>
          <w:szCs w:val="24"/>
        </w:rPr>
        <w:t xml:space="preserve"> This indicates that the</w:t>
      </w:r>
      <w:r w:rsidR="00FD548B">
        <w:rPr>
          <w:rFonts w:ascii="Garamond" w:hAnsi="Garamond" w:cs="Gisha"/>
          <w:sz w:val="24"/>
          <w:szCs w:val="24"/>
        </w:rPr>
        <w:t xml:space="preserve"> very high long-term correlation of city size with year </w:t>
      </w:r>
      <w:r w:rsidR="00AD0D89">
        <w:rPr>
          <w:rFonts w:ascii="Garamond" w:hAnsi="Garamond" w:cs="Gisha"/>
          <w:sz w:val="24"/>
          <w:szCs w:val="24"/>
        </w:rPr>
        <w:t>(.80 in Table 1) was the main reason behind the positive bivariate correlation between city and state in East Asia over the whole time period between 1900 BCE and 1800 CE.</w:t>
      </w:r>
    </w:p>
    <w:tbl>
      <w:tblPr>
        <w:tblW w:w="5700" w:type="dxa"/>
        <w:tblLook w:val="04A0" w:firstRow="1" w:lastRow="0" w:firstColumn="1" w:lastColumn="0" w:noHBand="0" w:noVBand="1"/>
      </w:tblPr>
      <w:tblGrid>
        <w:gridCol w:w="2155"/>
        <w:gridCol w:w="955"/>
        <w:gridCol w:w="1294"/>
        <w:gridCol w:w="1296"/>
      </w:tblGrid>
      <w:tr w:rsidR="0048067E" w:rsidRPr="00444CD4" w:rsidTr="00AD0D89">
        <w:trPr>
          <w:trHeight w:val="605"/>
        </w:trPr>
        <w:tc>
          <w:tcPr>
            <w:tcW w:w="31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PMN / level                          Partial Correlation</w:t>
            </w:r>
          </w:p>
        </w:tc>
        <w:tc>
          <w:tcPr>
            <w:tcW w:w="2590" w:type="dxa"/>
            <w:gridSpan w:val="2"/>
            <w:tcBorders>
              <w:top w:val="single" w:sz="4" w:space="0" w:color="auto"/>
              <w:left w:val="nil"/>
              <w:bottom w:val="single" w:sz="4" w:space="0" w:color="auto"/>
              <w:right w:val="single" w:sz="4" w:space="0" w:color="auto"/>
            </w:tcBorders>
            <w:shd w:val="clear" w:color="auto" w:fill="auto"/>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 xml:space="preserve">East Asian PMN        </w:t>
            </w:r>
          </w:p>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 xml:space="preserve"> (-1900 to 1)</w:t>
            </w:r>
          </w:p>
        </w:tc>
      </w:tr>
      <w:tr w:rsidR="0048067E" w:rsidRPr="00444CD4" w:rsidTr="00AD0D89">
        <w:trPr>
          <w:trHeight w:val="302"/>
        </w:trPr>
        <w:tc>
          <w:tcPr>
            <w:tcW w:w="3110" w:type="dxa"/>
            <w:gridSpan w:val="2"/>
            <w:vMerge/>
            <w:tcBorders>
              <w:top w:val="single" w:sz="4" w:space="0" w:color="auto"/>
              <w:left w:val="single" w:sz="4" w:space="0" w:color="auto"/>
              <w:bottom w:val="single" w:sz="4" w:space="0" w:color="auto"/>
              <w:right w:val="single" w:sz="4" w:space="0" w:color="auto"/>
            </w:tcBorders>
            <w:vAlign w:val="center"/>
            <w:hideMark/>
          </w:tcPr>
          <w:p w:rsidR="0048067E" w:rsidRPr="00444CD4" w:rsidRDefault="0048067E" w:rsidP="00AD0D89">
            <w:pPr>
              <w:rPr>
                <w:rFonts w:ascii="Garamond" w:eastAsia="Times New Roman" w:hAnsi="Garamond" w:cs="Times New Roman"/>
                <w:b/>
                <w:bCs/>
                <w:color w:val="000000"/>
              </w:rPr>
            </w:pPr>
          </w:p>
        </w:tc>
        <w:tc>
          <w:tcPr>
            <w:tcW w:w="1294"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city</w:t>
            </w:r>
          </w:p>
        </w:tc>
        <w:tc>
          <w:tcPr>
            <w:tcW w:w="1296"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state</w:t>
            </w:r>
          </w:p>
        </w:tc>
      </w:tr>
      <w:tr w:rsidR="0048067E" w:rsidRPr="00444CD4" w:rsidTr="00AD0D89">
        <w:trPr>
          <w:trHeight w:val="605"/>
        </w:trPr>
        <w:tc>
          <w:tcPr>
            <w:tcW w:w="2155" w:type="dxa"/>
            <w:vMerge w:val="restart"/>
            <w:tcBorders>
              <w:top w:val="nil"/>
              <w:left w:val="single" w:sz="4" w:space="0" w:color="auto"/>
              <w:bottom w:val="single" w:sz="4" w:space="0" w:color="auto"/>
              <w:right w:val="single" w:sz="4" w:space="0" w:color="auto"/>
            </w:tcBorders>
            <w:shd w:val="clear" w:color="auto" w:fill="auto"/>
            <w:vAlign w:val="bottom"/>
            <w:hideMark/>
          </w:tcPr>
          <w:p w:rsidR="0048067E" w:rsidRPr="00444CD4" w:rsidRDefault="0048067E" w:rsidP="008D3B9E">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East Asian PMN         (-1900 to 1)</w:t>
            </w:r>
          </w:p>
        </w:tc>
        <w:tc>
          <w:tcPr>
            <w:tcW w:w="955"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8D3B9E">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city</w:t>
            </w:r>
          </w:p>
        </w:tc>
        <w:tc>
          <w:tcPr>
            <w:tcW w:w="1294" w:type="dxa"/>
            <w:tcBorders>
              <w:top w:val="nil"/>
              <w:left w:val="nil"/>
              <w:bottom w:val="single" w:sz="4" w:space="0" w:color="auto"/>
              <w:right w:val="single" w:sz="4" w:space="0" w:color="auto"/>
            </w:tcBorders>
            <w:shd w:val="clear" w:color="auto" w:fill="auto"/>
            <w:vAlign w:val="bottom"/>
            <w:hideMark/>
          </w:tcPr>
          <w:p w:rsidR="0048067E" w:rsidRPr="00444CD4" w:rsidRDefault="0048067E" w:rsidP="008D3B9E">
            <w:pPr>
              <w:jc w:val="center"/>
              <w:rPr>
                <w:rFonts w:ascii="Garamond" w:eastAsia="Times New Roman" w:hAnsi="Garamond" w:cs="Times New Roman"/>
                <w:color w:val="000000"/>
              </w:rPr>
            </w:pPr>
            <w:r w:rsidRPr="00444CD4">
              <w:rPr>
                <w:rFonts w:ascii="Garamond" w:eastAsia="Times New Roman" w:hAnsi="Garamond" w:cs="Times New Roman"/>
                <w:color w:val="000000"/>
              </w:rPr>
              <w:t>-</w:t>
            </w:r>
          </w:p>
        </w:tc>
        <w:tc>
          <w:tcPr>
            <w:tcW w:w="1296" w:type="dxa"/>
            <w:tcBorders>
              <w:top w:val="nil"/>
              <w:left w:val="nil"/>
              <w:bottom w:val="single" w:sz="4" w:space="0" w:color="auto"/>
              <w:right w:val="single" w:sz="4" w:space="0" w:color="auto"/>
            </w:tcBorders>
            <w:shd w:val="clear" w:color="auto" w:fill="auto"/>
            <w:vAlign w:val="bottom"/>
            <w:hideMark/>
          </w:tcPr>
          <w:p w:rsidR="0048067E" w:rsidRPr="0048067E" w:rsidRDefault="00AD0D89" w:rsidP="008D3B9E">
            <w:pPr>
              <w:jc w:val="center"/>
              <w:rPr>
                <w:rFonts w:ascii="Garamond" w:eastAsia="Times New Roman" w:hAnsi="Garamond" w:cs="Times New Roman"/>
                <w:color w:val="000000"/>
              </w:rPr>
            </w:pPr>
            <w:r>
              <w:rPr>
                <w:rFonts w:ascii="Garamond" w:eastAsia="Times New Roman" w:hAnsi="Garamond" w:cs="Times New Roman"/>
                <w:color w:val="000000"/>
              </w:rPr>
              <w:t>.49</w:t>
            </w:r>
            <w:r w:rsidR="0048067E" w:rsidRPr="0048067E">
              <w:rPr>
                <w:rFonts w:ascii="Garamond" w:eastAsia="Times New Roman" w:hAnsi="Garamond" w:cs="Times New Roman"/>
                <w:color w:val="000000"/>
              </w:rPr>
              <w:t>**</w:t>
            </w:r>
          </w:p>
          <w:p w:rsidR="0048067E" w:rsidRPr="00444CD4" w:rsidRDefault="0048067E" w:rsidP="008D3B9E">
            <w:pPr>
              <w:jc w:val="center"/>
              <w:rPr>
                <w:rFonts w:ascii="Garamond" w:eastAsia="Times New Roman" w:hAnsi="Garamond" w:cs="Times New Roman"/>
                <w:color w:val="000000"/>
              </w:rPr>
            </w:pPr>
            <w:r w:rsidRPr="0048067E">
              <w:rPr>
                <w:rFonts w:ascii="Garamond" w:eastAsia="Times New Roman" w:hAnsi="Garamond" w:cs="Times New Roman"/>
                <w:color w:val="000000"/>
              </w:rPr>
              <w:t>(.002)</w:t>
            </w:r>
          </w:p>
        </w:tc>
      </w:tr>
      <w:tr w:rsidR="0048067E" w:rsidRPr="00444CD4" w:rsidTr="00AD0D89">
        <w:trPr>
          <w:trHeight w:val="605"/>
        </w:trPr>
        <w:tc>
          <w:tcPr>
            <w:tcW w:w="2155" w:type="dxa"/>
            <w:vMerge/>
            <w:tcBorders>
              <w:top w:val="nil"/>
              <w:left w:val="single" w:sz="4" w:space="0" w:color="auto"/>
              <w:bottom w:val="single" w:sz="4" w:space="0" w:color="auto"/>
              <w:right w:val="single" w:sz="4" w:space="0" w:color="auto"/>
            </w:tcBorders>
            <w:vAlign w:val="center"/>
            <w:hideMark/>
          </w:tcPr>
          <w:p w:rsidR="0048067E" w:rsidRPr="00444CD4" w:rsidRDefault="0048067E" w:rsidP="008D3B9E">
            <w:pPr>
              <w:rPr>
                <w:rFonts w:ascii="Garamond" w:eastAsia="Times New Roman" w:hAnsi="Garamond" w:cs="Times New Roman"/>
                <w:b/>
                <w:bCs/>
                <w:color w:val="000000"/>
              </w:rPr>
            </w:pPr>
          </w:p>
        </w:tc>
        <w:tc>
          <w:tcPr>
            <w:tcW w:w="955"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8D3B9E">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state</w:t>
            </w:r>
          </w:p>
        </w:tc>
        <w:tc>
          <w:tcPr>
            <w:tcW w:w="1294" w:type="dxa"/>
            <w:tcBorders>
              <w:top w:val="nil"/>
              <w:left w:val="nil"/>
              <w:bottom w:val="single" w:sz="4" w:space="0" w:color="auto"/>
              <w:right w:val="single" w:sz="4" w:space="0" w:color="auto"/>
            </w:tcBorders>
            <w:shd w:val="clear" w:color="auto" w:fill="auto"/>
            <w:vAlign w:val="bottom"/>
            <w:hideMark/>
          </w:tcPr>
          <w:p w:rsidR="0048067E" w:rsidRPr="0048067E" w:rsidRDefault="00AD0D89" w:rsidP="008D3B9E">
            <w:pPr>
              <w:jc w:val="center"/>
              <w:rPr>
                <w:rFonts w:ascii="Garamond" w:eastAsia="Times New Roman" w:hAnsi="Garamond" w:cs="Times New Roman"/>
                <w:color w:val="000000"/>
              </w:rPr>
            </w:pPr>
            <w:r>
              <w:rPr>
                <w:rFonts w:ascii="Garamond" w:eastAsia="Times New Roman" w:hAnsi="Garamond" w:cs="Times New Roman"/>
                <w:color w:val="000000"/>
              </w:rPr>
              <w:t>.49</w:t>
            </w:r>
            <w:r w:rsidR="0048067E" w:rsidRPr="0048067E">
              <w:rPr>
                <w:rFonts w:ascii="Garamond" w:eastAsia="Times New Roman" w:hAnsi="Garamond" w:cs="Times New Roman"/>
                <w:color w:val="000000"/>
              </w:rPr>
              <w:t>**</w:t>
            </w:r>
          </w:p>
          <w:p w:rsidR="0048067E" w:rsidRPr="00444CD4" w:rsidRDefault="0048067E" w:rsidP="008D3B9E">
            <w:pPr>
              <w:jc w:val="center"/>
              <w:rPr>
                <w:rFonts w:ascii="Garamond" w:eastAsia="Times New Roman" w:hAnsi="Garamond" w:cs="Times New Roman"/>
                <w:color w:val="000000"/>
              </w:rPr>
            </w:pPr>
            <w:r w:rsidRPr="0048067E">
              <w:rPr>
                <w:rFonts w:ascii="Garamond" w:eastAsia="Times New Roman" w:hAnsi="Garamond" w:cs="Times New Roman"/>
                <w:color w:val="000000"/>
              </w:rPr>
              <w:t>(.002)</w:t>
            </w:r>
          </w:p>
        </w:tc>
        <w:tc>
          <w:tcPr>
            <w:tcW w:w="1296" w:type="dxa"/>
            <w:tcBorders>
              <w:top w:val="nil"/>
              <w:left w:val="nil"/>
              <w:bottom w:val="single" w:sz="4" w:space="0" w:color="auto"/>
              <w:right w:val="single" w:sz="4" w:space="0" w:color="auto"/>
            </w:tcBorders>
            <w:shd w:val="clear" w:color="auto" w:fill="auto"/>
            <w:vAlign w:val="bottom"/>
            <w:hideMark/>
          </w:tcPr>
          <w:p w:rsidR="0048067E" w:rsidRPr="00444CD4" w:rsidRDefault="0048067E" w:rsidP="008D3B9E">
            <w:pPr>
              <w:jc w:val="center"/>
              <w:rPr>
                <w:rFonts w:ascii="Garamond" w:eastAsia="Times New Roman" w:hAnsi="Garamond" w:cs="Times New Roman"/>
                <w:color w:val="000000"/>
              </w:rPr>
            </w:pPr>
            <w:r w:rsidRPr="00444CD4">
              <w:rPr>
                <w:rFonts w:ascii="Garamond" w:eastAsia="Times New Roman" w:hAnsi="Garamond" w:cs="Times New Roman"/>
                <w:color w:val="000000"/>
              </w:rPr>
              <w:t>-</w:t>
            </w:r>
          </w:p>
        </w:tc>
      </w:tr>
    </w:tbl>
    <w:p w:rsidR="00DE22CE" w:rsidRDefault="00AD0D89" w:rsidP="008D3B9E">
      <w:pPr>
        <w:pStyle w:val="Caption"/>
        <w:spacing w:before="0" w:after="0"/>
      </w:pPr>
      <w:r>
        <w:t xml:space="preserve">Table 6: </w:t>
      </w:r>
      <w:r w:rsidRPr="00D605D9">
        <w:t xml:space="preserve">East Asian PMN </w:t>
      </w:r>
      <w:r>
        <w:t>(</w:t>
      </w:r>
      <w:r w:rsidRPr="00D605D9">
        <w:t>-1900 to 1</w:t>
      </w:r>
      <w:r>
        <w:t>)</w:t>
      </w:r>
    </w:p>
    <w:p w:rsidR="00AD0D89" w:rsidRPr="00AD0D89" w:rsidRDefault="00AD0D89" w:rsidP="008D3B9E">
      <w:pPr>
        <w:rPr>
          <w:rFonts w:ascii="Garamond" w:hAnsi="Garamond"/>
          <w:sz w:val="24"/>
          <w:szCs w:val="24"/>
          <w:lang w:eastAsia="en-US"/>
        </w:rPr>
      </w:pPr>
      <w:r w:rsidRPr="00AD0D89">
        <w:rPr>
          <w:rFonts w:ascii="Garamond" w:hAnsi="Garamond"/>
          <w:sz w:val="24"/>
          <w:szCs w:val="24"/>
          <w:lang w:eastAsia="en-US"/>
        </w:rPr>
        <w:t>But when we separate</w:t>
      </w:r>
      <w:r>
        <w:rPr>
          <w:rFonts w:ascii="Garamond" w:hAnsi="Garamond"/>
          <w:sz w:val="24"/>
          <w:szCs w:val="24"/>
          <w:lang w:eastAsia="en-US"/>
        </w:rPr>
        <w:t xml:space="preserve"> the East Asian data into two </w:t>
      </w:r>
      <w:proofErr w:type="spellStart"/>
      <w:r>
        <w:rPr>
          <w:rFonts w:ascii="Garamond" w:hAnsi="Garamond"/>
          <w:sz w:val="24"/>
          <w:szCs w:val="24"/>
          <w:lang w:eastAsia="en-US"/>
        </w:rPr>
        <w:t>subperiods</w:t>
      </w:r>
      <w:proofErr w:type="spellEnd"/>
      <w:r>
        <w:rPr>
          <w:rFonts w:ascii="Garamond" w:hAnsi="Garamond"/>
          <w:sz w:val="24"/>
          <w:szCs w:val="24"/>
          <w:lang w:eastAsia="en-US"/>
        </w:rPr>
        <w:t xml:space="preserve"> we find something interesting. The partial correlation between city and state is positive and statistically significant for the period before the common era (BCE) (.49** in Table 6) but slightly negative for the period of the common era (CE) (-.06 in Table 7).</w:t>
      </w:r>
    </w:p>
    <w:tbl>
      <w:tblPr>
        <w:tblW w:w="5739" w:type="dxa"/>
        <w:tblLook w:val="04A0" w:firstRow="1" w:lastRow="0" w:firstColumn="1" w:lastColumn="0" w:noHBand="0" w:noVBand="1"/>
      </w:tblPr>
      <w:tblGrid>
        <w:gridCol w:w="2073"/>
        <w:gridCol w:w="1342"/>
        <w:gridCol w:w="1170"/>
        <w:gridCol w:w="1154"/>
      </w:tblGrid>
      <w:tr w:rsidR="0048067E" w:rsidRPr="00444CD4" w:rsidTr="00AD0D89">
        <w:trPr>
          <w:trHeight w:val="501"/>
        </w:trPr>
        <w:tc>
          <w:tcPr>
            <w:tcW w:w="341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67E"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PMN /</w:t>
            </w:r>
            <w:r>
              <w:rPr>
                <w:rFonts w:ascii="Garamond" w:eastAsia="Times New Roman" w:hAnsi="Garamond" w:cs="Times New Roman"/>
                <w:b/>
                <w:bCs/>
                <w:color w:val="000000"/>
              </w:rPr>
              <w:t xml:space="preserve"> level                </w:t>
            </w:r>
          </w:p>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Partial Correlation</w:t>
            </w:r>
          </w:p>
        </w:tc>
        <w:tc>
          <w:tcPr>
            <w:tcW w:w="2324" w:type="dxa"/>
            <w:gridSpan w:val="2"/>
            <w:tcBorders>
              <w:top w:val="single" w:sz="4" w:space="0" w:color="auto"/>
              <w:left w:val="nil"/>
              <w:bottom w:val="single" w:sz="4" w:space="0" w:color="auto"/>
              <w:right w:val="single" w:sz="4" w:space="0" w:color="auto"/>
            </w:tcBorders>
            <w:shd w:val="clear" w:color="auto" w:fill="auto"/>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 xml:space="preserve">East Asian PMN      </w:t>
            </w:r>
            <w:r>
              <w:rPr>
                <w:rFonts w:ascii="Garamond" w:eastAsia="Times New Roman" w:hAnsi="Garamond" w:cs="Times New Roman"/>
                <w:b/>
                <w:bCs/>
                <w:color w:val="000000"/>
              </w:rPr>
              <w:t xml:space="preserve">    </w:t>
            </w:r>
            <w:r w:rsidRPr="00444CD4">
              <w:rPr>
                <w:rFonts w:ascii="Garamond" w:eastAsia="Times New Roman" w:hAnsi="Garamond" w:cs="Times New Roman"/>
                <w:b/>
                <w:bCs/>
                <w:color w:val="000000"/>
              </w:rPr>
              <w:t xml:space="preserve">   (1 to 1800)</w:t>
            </w:r>
          </w:p>
        </w:tc>
      </w:tr>
      <w:tr w:rsidR="0048067E" w:rsidRPr="00444CD4" w:rsidTr="00AD0D89">
        <w:trPr>
          <w:trHeight w:val="250"/>
        </w:trPr>
        <w:tc>
          <w:tcPr>
            <w:tcW w:w="3415" w:type="dxa"/>
            <w:gridSpan w:val="2"/>
            <w:vMerge/>
            <w:tcBorders>
              <w:top w:val="single" w:sz="4" w:space="0" w:color="auto"/>
              <w:left w:val="single" w:sz="4" w:space="0" w:color="auto"/>
              <w:bottom w:val="single" w:sz="4" w:space="0" w:color="auto"/>
              <w:right w:val="single" w:sz="4" w:space="0" w:color="auto"/>
            </w:tcBorders>
            <w:vAlign w:val="center"/>
            <w:hideMark/>
          </w:tcPr>
          <w:p w:rsidR="0048067E" w:rsidRPr="00444CD4" w:rsidRDefault="0048067E" w:rsidP="00AD0D89">
            <w:pPr>
              <w:rPr>
                <w:rFonts w:ascii="Garamond" w:eastAsia="Times New Roman" w:hAnsi="Garamond"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city</w:t>
            </w:r>
          </w:p>
        </w:tc>
        <w:tc>
          <w:tcPr>
            <w:tcW w:w="1154"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state</w:t>
            </w:r>
          </w:p>
        </w:tc>
      </w:tr>
      <w:tr w:rsidR="0048067E" w:rsidRPr="00444CD4" w:rsidTr="00AD0D89">
        <w:trPr>
          <w:trHeight w:val="501"/>
        </w:trPr>
        <w:tc>
          <w:tcPr>
            <w:tcW w:w="2073" w:type="dxa"/>
            <w:vMerge w:val="restart"/>
            <w:tcBorders>
              <w:top w:val="nil"/>
              <w:left w:val="single" w:sz="4" w:space="0" w:color="auto"/>
              <w:bottom w:val="single" w:sz="4" w:space="0" w:color="auto"/>
              <w:right w:val="single" w:sz="4" w:space="0" w:color="auto"/>
            </w:tcBorders>
            <w:shd w:val="clear" w:color="auto" w:fill="auto"/>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East Asian PMN         (1 to 1800)</w:t>
            </w:r>
          </w:p>
        </w:tc>
        <w:tc>
          <w:tcPr>
            <w:tcW w:w="1342"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city</w:t>
            </w:r>
          </w:p>
        </w:tc>
        <w:tc>
          <w:tcPr>
            <w:tcW w:w="1170" w:type="dxa"/>
            <w:tcBorders>
              <w:top w:val="nil"/>
              <w:left w:val="nil"/>
              <w:bottom w:val="single" w:sz="4" w:space="0" w:color="auto"/>
              <w:right w:val="single" w:sz="4" w:space="0" w:color="auto"/>
            </w:tcBorders>
            <w:shd w:val="clear" w:color="auto" w:fill="auto"/>
            <w:vAlign w:val="bottom"/>
            <w:hideMark/>
          </w:tcPr>
          <w:p w:rsidR="0048067E" w:rsidRPr="00444CD4" w:rsidRDefault="0048067E" w:rsidP="00AD0D89">
            <w:pPr>
              <w:jc w:val="center"/>
              <w:rPr>
                <w:rFonts w:ascii="Garamond" w:eastAsia="Times New Roman" w:hAnsi="Garamond" w:cs="Times New Roman"/>
                <w:color w:val="000000"/>
              </w:rPr>
            </w:pPr>
            <w:r w:rsidRPr="00444CD4">
              <w:rPr>
                <w:rFonts w:ascii="Garamond" w:eastAsia="Times New Roman" w:hAnsi="Garamond" w:cs="Times New Roman"/>
                <w:color w:val="000000"/>
              </w:rPr>
              <w:t>-</w:t>
            </w:r>
          </w:p>
        </w:tc>
        <w:tc>
          <w:tcPr>
            <w:tcW w:w="1154" w:type="dxa"/>
            <w:tcBorders>
              <w:top w:val="nil"/>
              <w:left w:val="nil"/>
              <w:bottom w:val="single" w:sz="4" w:space="0" w:color="auto"/>
              <w:right w:val="single" w:sz="4" w:space="0" w:color="auto"/>
            </w:tcBorders>
            <w:shd w:val="clear" w:color="auto" w:fill="auto"/>
            <w:vAlign w:val="bottom"/>
            <w:hideMark/>
          </w:tcPr>
          <w:p w:rsidR="0048067E" w:rsidRPr="0048067E" w:rsidRDefault="00DB387D" w:rsidP="0048067E">
            <w:pPr>
              <w:jc w:val="center"/>
              <w:rPr>
                <w:rFonts w:ascii="Garamond" w:eastAsia="Times New Roman" w:hAnsi="Garamond" w:cs="Times New Roman"/>
                <w:color w:val="000000"/>
              </w:rPr>
            </w:pPr>
            <w:r>
              <w:rPr>
                <w:rFonts w:ascii="Garamond" w:eastAsia="Times New Roman" w:hAnsi="Garamond" w:cs="Times New Roman"/>
                <w:color w:val="000000"/>
              </w:rPr>
              <w:t>-.06</w:t>
            </w:r>
          </w:p>
          <w:p w:rsidR="0048067E" w:rsidRPr="00444CD4" w:rsidRDefault="0048067E" w:rsidP="0048067E">
            <w:pPr>
              <w:jc w:val="center"/>
              <w:rPr>
                <w:rFonts w:ascii="Garamond" w:eastAsia="Times New Roman" w:hAnsi="Garamond" w:cs="Times New Roman"/>
                <w:color w:val="000000"/>
              </w:rPr>
            </w:pPr>
            <w:r w:rsidRPr="0048067E">
              <w:rPr>
                <w:rFonts w:ascii="Garamond" w:eastAsia="Times New Roman" w:hAnsi="Garamond" w:cs="Times New Roman"/>
                <w:color w:val="000000"/>
              </w:rPr>
              <w:t>(.720)</w:t>
            </w:r>
          </w:p>
        </w:tc>
      </w:tr>
      <w:tr w:rsidR="0048067E" w:rsidRPr="00444CD4" w:rsidTr="00AD0D89">
        <w:trPr>
          <w:trHeight w:val="501"/>
        </w:trPr>
        <w:tc>
          <w:tcPr>
            <w:tcW w:w="2073" w:type="dxa"/>
            <w:vMerge/>
            <w:tcBorders>
              <w:top w:val="nil"/>
              <w:left w:val="single" w:sz="4" w:space="0" w:color="auto"/>
              <w:bottom w:val="single" w:sz="4" w:space="0" w:color="auto"/>
              <w:right w:val="single" w:sz="4" w:space="0" w:color="auto"/>
            </w:tcBorders>
            <w:vAlign w:val="center"/>
            <w:hideMark/>
          </w:tcPr>
          <w:p w:rsidR="0048067E" w:rsidRPr="00444CD4" w:rsidRDefault="0048067E" w:rsidP="00AD0D89">
            <w:pPr>
              <w:rPr>
                <w:rFonts w:ascii="Garamond" w:eastAsia="Times New Roman" w:hAnsi="Garamond" w:cs="Times New Roman"/>
                <w:b/>
                <w:bCs/>
                <w:color w:val="000000"/>
              </w:rPr>
            </w:pPr>
          </w:p>
        </w:tc>
        <w:tc>
          <w:tcPr>
            <w:tcW w:w="1342" w:type="dxa"/>
            <w:tcBorders>
              <w:top w:val="nil"/>
              <w:left w:val="nil"/>
              <w:bottom w:val="single" w:sz="4" w:space="0" w:color="auto"/>
              <w:right w:val="single" w:sz="4" w:space="0" w:color="auto"/>
            </w:tcBorders>
            <w:shd w:val="clear" w:color="auto" w:fill="auto"/>
            <w:noWrap/>
            <w:vAlign w:val="bottom"/>
            <w:hideMark/>
          </w:tcPr>
          <w:p w:rsidR="0048067E" w:rsidRPr="00444CD4" w:rsidRDefault="0048067E" w:rsidP="00AD0D89">
            <w:pPr>
              <w:jc w:val="center"/>
              <w:rPr>
                <w:rFonts w:ascii="Garamond" w:eastAsia="Times New Roman" w:hAnsi="Garamond" w:cs="Times New Roman"/>
                <w:b/>
                <w:bCs/>
                <w:color w:val="000000"/>
              </w:rPr>
            </w:pPr>
            <w:r w:rsidRPr="00444CD4">
              <w:rPr>
                <w:rFonts w:ascii="Garamond" w:eastAsia="Times New Roman" w:hAnsi="Garamond" w:cs="Times New Roman"/>
                <w:b/>
                <w:bCs/>
                <w:color w:val="000000"/>
              </w:rPr>
              <w:t>state</w:t>
            </w:r>
          </w:p>
        </w:tc>
        <w:tc>
          <w:tcPr>
            <w:tcW w:w="1170" w:type="dxa"/>
            <w:tcBorders>
              <w:top w:val="nil"/>
              <w:left w:val="nil"/>
              <w:bottom w:val="single" w:sz="4" w:space="0" w:color="auto"/>
              <w:right w:val="single" w:sz="4" w:space="0" w:color="auto"/>
            </w:tcBorders>
            <w:shd w:val="clear" w:color="auto" w:fill="auto"/>
            <w:vAlign w:val="bottom"/>
            <w:hideMark/>
          </w:tcPr>
          <w:p w:rsidR="0048067E" w:rsidRPr="0048067E" w:rsidRDefault="00DB387D" w:rsidP="0048067E">
            <w:pPr>
              <w:jc w:val="center"/>
              <w:rPr>
                <w:rFonts w:ascii="Garamond" w:eastAsia="Times New Roman" w:hAnsi="Garamond" w:cs="Times New Roman"/>
                <w:color w:val="000000"/>
              </w:rPr>
            </w:pPr>
            <w:r>
              <w:rPr>
                <w:rFonts w:ascii="Garamond" w:eastAsia="Times New Roman" w:hAnsi="Garamond" w:cs="Times New Roman"/>
                <w:color w:val="000000"/>
              </w:rPr>
              <w:t>-.06</w:t>
            </w:r>
          </w:p>
          <w:p w:rsidR="0048067E" w:rsidRPr="00444CD4" w:rsidRDefault="0048067E" w:rsidP="0048067E">
            <w:pPr>
              <w:jc w:val="center"/>
              <w:rPr>
                <w:rFonts w:ascii="Garamond" w:eastAsia="Times New Roman" w:hAnsi="Garamond" w:cs="Times New Roman"/>
                <w:color w:val="000000"/>
              </w:rPr>
            </w:pPr>
            <w:r w:rsidRPr="0048067E">
              <w:rPr>
                <w:rFonts w:ascii="Garamond" w:eastAsia="Times New Roman" w:hAnsi="Garamond" w:cs="Times New Roman"/>
                <w:color w:val="000000"/>
              </w:rPr>
              <w:t>(.720)</w:t>
            </w:r>
          </w:p>
        </w:tc>
        <w:tc>
          <w:tcPr>
            <w:tcW w:w="1154" w:type="dxa"/>
            <w:tcBorders>
              <w:top w:val="nil"/>
              <w:left w:val="nil"/>
              <w:bottom w:val="single" w:sz="4" w:space="0" w:color="auto"/>
              <w:right w:val="single" w:sz="4" w:space="0" w:color="auto"/>
            </w:tcBorders>
            <w:shd w:val="clear" w:color="auto" w:fill="auto"/>
            <w:vAlign w:val="bottom"/>
            <w:hideMark/>
          </w:tcPr>
          <w:p w:rsidR="0048067E" w:rsidRPr="00444CD4" w:rsidRDefault="0048067E" w:rsidP="00AD0D89">
            <w:pPr>
              <w:jc w:val="center"/>
              <w:rPr>
                <w:rFonts w:ascii="Garamond" w:eastAsia="Times New Roman" w:hAnsi="Garamond" w:cs="Times New Roman"/>
                <w:color w:val="000000"/>
              </w:rPr>
            </w:pPr>
            <w:r w:rsidRPr="00444CD4">
              <w:rPr>
                <w:rFonts w:ascii="Garamond" w:eastAsia="Times New Roman" w:hAnsi="Garamond" w:cs="Times New Roman"/>
                <w:color w:val="000000"/>
              </w:rPr>
              <w:t>-</w:t>
            </w:r>
          </w:p>
        </w:tc>
      </w:tr>
    </w:tbl>
    <w:p w:rsidR="00DE22CE" w:rsidRDefault="00AD0D89" w:rsidP="008D3B9E">
      <w:pPr>
        <w:pStyle w:val="Caption"/>
        <w:spacing w:before="0" w:after="0"/>
      </w:pPr>
      <w:r>
        <w:t xml:space="preserve">Table 7: </w:t>
      </w:r>
      <w:r w:rsidRPr="00D605D9">
        <w:t>East Asian PMN</w:t>
      </w:r>
      <w:r>
        <w:t xml:space="preserve"> (</w:t>
      </w:r>
      <w:r w:rsidRPr="00D605D9">
        <w:t>1 to 1800</w:t>
      </w:r>
      <w:r>
        <w:t>)</w:t>
      </w:r>
    </w:p>
    <w:p w:rsidR="00DE22CE" w:rsidRPr="00DB387D" w:rsidRDefault="00DB387D" w:rsidP="008D3B9E">
      <w:pPr>
        <w:rPr>
          <w:rFonts w:ascii="Garamond" w:hAnsi="Garamond"/>
          <w:sz w:val="24"/>
          <w:szCs w:val="24"/>
          <w:lang w:eastAsia="en-US"/>
        </w:rPr>
      </w:pPr>
      <w:r>
        <w:rPr>
          <w:rFonts w:ascii="Garamond" w:hAnsi="Garamond"/>
          <w:sz w:val="24"/>
          <w:szCs w:val="24"/>
          <w:lang w:eastAsia="en-US"/>
        </w:rPr>
        <w:t xml:space="preserve">We do not know why the relationship between city and year would be different in the two time periods. </w:t>
      </w:r>
    </w:p>
    <w:tbl>
      <w:tblPr>
        <w:tblW w:w="5943" w:type="dxa"/>
        <w:tblLook w:val="04A0" w:firstRow="1" w:lastRow="0" w:firstColumn="1" w:lastColumn="0" w:noHBand="0" w:noVBand="1"/>
      </w:tblPr>
      <w:tblGrid>
        <w:gridCol w:w="2129"/>
        <w:gridCol w:w="1137"/>
        <w:gridCol w:w="1338"/>
        <w:gridCol w:w="1339"/>
      </w:tblGrid>
      <w:tr w:rsidR="0048067E" w:rsidRPr="00E35AED" w:rsidTr="00AD0D89">
        <w:trPr>
          <w:trHeight w:val="586"/>
        </w:trPr>
        <w:tc>
          <w:tcPr>
            <w:tcW w:w="32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 xml:space="preserve">PMN / level                          </w:t>
            </w:r>
          </w:p>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Partial Correlation</w:t>
            </w:r>
          </w:p>
        </w:tc>
        <w:tc>
          <w:tcPr>
            <w:tcW w:w="2677" w:type="dxa"/>
            <w:gridSpan w:val="2"/>
            <w:tcBorders>
              <w:top w:val="single" w:sz="4" w:space="0" w:color="auto"/>
              <w:left w:val="nil"/>
              <w:bottom w:val="single" w:sz="4" w:space="0" w:color="auto"/>
              <w:right w:val="single" w:sz="4" w:space="0" w:color="auto"/>
            </w:tcBorders>
            <w:shd w:val="clear" w:color="auto" w:fill="auto"/>
            <w:vAlign w:val="bottom"/>
            <w:hideMark/>
          </w:tcPr>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 xml:space="preserve">Central PMN               </w:t>
            </w:r>
          </w:p>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(-1500 and 1900)</w:t>
            </w:r>
          </w:p>
        </w:tc>
      </w:tr>
      <w:tr w:rsidR="0048067E" w:rsidRPr="00E35AED" w:rsidTr="00AD0D89">
        <w:trPr>
          <w:trHeight w:val="292"/>
        </w:trPr>
        <w:tc>
          <w:tcPr>
            <w:tcW w:w="3266" w:type="dxa"/>
            <w:gridSpan w:val="2"/>
            <w:vMerge/>
            <w:tcBorders>
              <w:top w:val="single" w:sz="4" w:space="0" w:color="auto"/>
              <w:left w:val="single" w:sz="4" w:space="0" w:color="auto"/>
              <w:bottom w:val="single" w:sz="4" w:space="0" w:color="auto"/>
              <w:right w:val="single" w:sz="4" w:space="0" w:color="auto"/>
            </w:tcBorders>
            <w:vAlign w:val="center"/>
            <w:hideMark/>
          </w:tcPr>
          <w:p w:rsidR="0048067E" w:rsidRPr="00E35AED" w:rsidRDefault="0048067E" w:rsidP="00AD0D89">
            <w:pPr>
              <w:rPr>
                <w:rFonts w:ascii="Garamond" w:eastAsia="Times New Roman" w:hAnsi="Garamond" w:cs="Times New Roman"/>
                <w:b/>
                <w:bCs/>
                <w:color w:val="000000"/>
              </w:rPr>
            </w:pPr>
          </w:p>
        </w:tc>
        <w:tc>
          <w:tcPr>
            <w:tcW w:w="1338" w:type="dxa"/>
            <w:tcBorders>
              <w:top w:val="nil"/>
              <w:left w:val="nil"/>
              <w:bottom w:val="single" w:sz="4" w:space="0" w:color="auto"/>
              <w:right w:val="single" w:sz="4" w:space="0" w:color="auto"/>
            </w:tcBorders>
            <w:shd w:val="clear" w:color="auto" w:fill="auto"/>
            <w:noWrap/>
            <w:vAlign w:val="bottom"/>
            <w:hideMark/>
          </w:tcPr>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city</w:t>
            </w:r>
          </w:p>
        </w:tc>
        <w:tc>
          <w:tcPr>
            <w:tcW w:w="1339" w:type="dxa"/>
            <w:tcBorders>
              <w:top w:val="nil"/>
              <w:left w:val="nil"/>
              <w:bottom w:val="single" w:sz="4" w:space="0" w:color="auto"/>
              <w:right w:val="single" w:sz="4" w:space="0" w:color="auto"/>
            </w:tcBorders>
            <w:shd w:val="clear" w:color="auto" w:fill="auto"/>
            <w:noWrap/>
            <w:vAlign w:val="bottom"/>
            <w:hideMark/>
          </w:tcPr>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state</w:t>
            </w:r>
          </w:p>
        </w:tc>
      </w:tr>
      <w:tr w:rsidR="0048067E" w:rsidRPr="00E35AED" w:rsidTr="00AD0D89">
        <w:trPr>
          <w:trHeight w:val="586"/>
        </w:trPr>
        <w:tc>
          <w:tcPr>
            <w:tcW w:w="2129" w:type="dxa"/>
            <w:vMerge w:val="restart"/>
            <w:tcBorders>
              <w:top w:val="nil"/>
              <w:left w:val="single" w:sz="4" w:space="0" w:color="auto"/>
              <w:bottom w:val="single" w:sz="4" w:space="0" w:color="auto"/>
              <w:right w:val="single" w:sz="4" w:space="0" w:color="auto"/>
            </w:tcBorders>
            <w:shd w:val="clear" w:color="auto" w:fill="auto"/>
            <w:vAlign w:val="bottom"/>
            <w:hideMark/>
          </w:tcPr>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Central PMN               (-1500 and 1900)</w:t>
            </w:r>
          </w:p>
        </w:tc>
        <w:tc>
          <w:tcPr>
            <w:tcW w:w="1137" w:type="dxa"/>
            <w:tcBorders>
              <w:top w:val="nil"/>
              <w:left w:val="nil"/>
              <w:bottom w:val="single" w:sz="4" w:space="0" w:color="auto"/>
              <w:right w:val="single" w:sz="4" w:space="0" w:color="auto"/>
            </w:tcBorders>
            <w:shd w:val="clear" w:color="auto" w:fill="auto"/>
            <w:noWrap/>
            <w:vAlign w:val="bottom"/>
            <w:hideMark/>
          </w:tcPr>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city</w:t>
            </w:r>
          </w:p>
        </w:tc>
        <w:tc>
          <w:tcPr>
            <w:tcW w:w="1338" w:type="dxa"/>
            <w:tcBorders>
              <w:top w:val="nil"/>
              <w:left w:val="nil"/>
              <w:bottom w:val="single" w:sz="4" w:space="0" w:color="auto"/>
              <w:right w:val="single" w:sz="4" w:space="0" w:color="auto"/>
            </w:tcBorders>
            <w:shd w:val="clear" w:color="auto" w:fill="auto"/>
            <w:noWrap/>
            <w:vAlign w:val="bottom"/>
            <w:hideMark/>
          </w:tcPr>
          <w:p w:rsidR="0048067E" w:rsidRPr="00E35AED" w:rsidRDefault="0048067E" w:rsidP="00AD0D89">
            <w:pPr>
              <w:jc w:val="center"/>
              <w:rPr>
                <w:rFonts w:ascii="Garamond" w:eastAsia="Times New Roman" w:hAnsi="Garamond" w:cs="Times New Roman"/>
                <w:color w:val="000000"/>
              </w:rPr>
            </w:pPr>
            <w:r w:rsidRPr="00E35AED">
              <w:rPr>
                <w:rFonts w:ascii="Garamond" w:eastAsia="Times New Roman" w:hAnsi="Garamond" w:cs="Times New Roman"/>
                <w:color w:val="000000"/>
              </w:rPr>
              <w:t>-</w:t>
            </w:r>
          </w:p>
        </w:tc>
        <w:tc>
          <w:tcPr>
            <w:tcW w:w="1339" w:type="dxa"/>
            <w:tcBorders>
              <w:top w:val="nil"/>
              <w:left w:val="nil"/>
              <w:bottom w:val="single" w:sz="4" w:space="0" w:color="auto"/>
              <w:right w:val="single" w:sz="4" w:space="0" w:color="auto"/>
            </w:tcBorders>
            <w:shd w:val="clear" w:color="auto" w:fill="auto"/>
            <w:vAlign w:val="bottom"/>
            <w:hideMark/>
          </w:tcPr>
          <w:p w:rsidR="00792245" w:rsidRPr="00792245" w:rsidRDefault="00DB387D" w:rsidP="00792245">
            <w:pPr>
              <w:jc w:val="center"/>
              <w:rPr>
                <w:rFonts w:ascii="Garamond" w:eastAsia="Times New Roman" w:hAnsi="Garamond" w:cs="Times New Roman"/>
                <w:color w:val="000000"/>
              </w:rPr>
            </w:pPr>
            <w:r>
              <w:rPr>
                <w:rFonts w:ascii="Garamond" w:eastAsia="Times New Roman" w:hAnsi="Garamond" w:cs="Times New Roman"/>
                <w:color w:val="000000"/>
              </w:rPr>
              <w:t>.51</w:t>
            </w:r>
            <w:r w:rsidR="00792245" w:rsidRPr="00792245">
              <w:rPr>
                <w:rFonts w:ascii="Garamond" w:eastAsia="Times New Roman" w:hAnsi="Garamond" w:cs="Times New Roman"/>
                <w:color w:val="000000"/>
              </w:rPr>
              <w:t>***</w:t>
            </w:r>
          </w:p>
          <w:p w:rsidR="0048067E" w:rsidRPr="00E35AED"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(.000)</w:t>
            </w:r>
          </w:p>
        </w:tc>
      </w:tr>
      <w:tr w:rsidR="0048067E" w:rsidRPr="00E35AED" w:rsidTr="00AD0D89">
        <w:trPr>
          <w:trHeight w:val="586"/>
        </w:trPr>
        <w:tc>
          <w:tcPr>
            <w:tcW w:w="2129" w:type="dxa"/>
            <w:vMerge/>
            <w:tcBorders>
              <w:top w:val="nil"/>
              <w:left w:val="single" w:sz="4" w:space="0" w:color="auto"/>
              <w:bottom w:val="single" w:sz="4" w:space="0" w:color="auto"/>
              <w:right w:val="single" w:sz="4" w:space="0" w:color="auto"/>
            </w:tcBorders>
            <w:vAlign w:val="center"/>
            <w:hideMark/>
          </w:tcPr>
          <w:p w:rsidR="0048067E" w:rsidRPr="00E35AED" w:rsidRDefault="0048067E" w:rsidP="00AD0D89">
            <w:pPr>
              <w:rPr>
                <w:rFonts w:ascii="Garamond" w:eastAsia="Times New Roman" w:hAnsi="Garamond" w:cs="Times New Roman"/>
                <w:b/>
                <w:bCs/>
                <w:color w:val="000000"/>
              </w:rPr>
            </w:pPr>
          </w:p>
        </w:tc>
        <w:tc>
          <w:tcPr>
            <w:tcW w:w="1137" w:type="dxa"/>
            <w:tcBorders>
              <w:top w:val="nil"/>
              <w:left w:val="nil"/>
              <w:bottom w:val="single" w:sz="4" w:space="0" w:color="auto"/>
              <w:right w:val="single" w:sz="4" w:space="0" w:color="auto"/>
            </w:tcBorders>
            <w:shd w:val="clear" w:color="auto" w:fill="auto"/>
            <w:noWrap/>
            <w:vAlign w:val="bottom"/>
            <w:hideMark/>
          </w:tcPr>
          <w:p w:rsidR="0048067E" w:rsidRPr="00E35AED" w:rsidRDefault="0048067E"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state</w:t>
            </w:r>
          </w:p>
        </w:tc>
        <w:tc>
          <w:tcPr>
            <w:tcW w:w="1338" w:type="dxa"/>
            <w:tcBorders>
              <w:top w:val="nil"/>
              <w:left w:val="nil"/>
              <w:bottom w:val="single" w:sz="4" w:space="0" w:color="auto"/>
              <w:right w:val="single" w:sz="4" w:space="0" w:color="auto"/>
            </w:tcBorders>
            <w:shd w:val="clear" w:color="auto" w:fill="auto"/>
            <w:vAlign w:val="bottom"/>
            <w:hideMark/>
          </w:tcPr>
          <w:p w:rsidR="00792245" w:rsidRPr="00792245" w:rsidRDefault="00DB387D" w:rsidP="00792245">
            <w:pPr>
              <w:jc w:val="center"/>
              <w:rPr>
                <w:rFonts w:ascii="Garamond" w:eastAsia="Times New Roman" w:hAnsi="Garamond" w:cs="Times New Roman"/>
                <w:color w:val="000000"/>
              </w:rPr>
            </w:pPr>
            <w:r>
              <w:rPr>
                <w:rFonts w:ascii="Garamond" w:eastAsia="Times New Roman" w:hAnsi="Garamond" w:cs="Times New Roman"/>
                <w:color w:val="000000"/>
              </w:rPr>
              <w:t>.51</w:t>
            </w:r>
            <w:r w:rsidR="00792245" w:rsidRPr="00792245">
              <w:rPr>
                <w:rFonts w:ascii="Garamond" w:eastAsia="Times New Roman" w:hAnsi="Garamond" w:cs="Times New Roman"/>
                <w:color w:val="000000"/>
              </w:rPr>
              <w:t>***</w:t>
            </w:r>
          </w:p>
          <w:p w:rsidR="0048067E" w:rsidRPr="00E35AED"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(.000)</w:t>
            </w:r>
          </w:p>
        </w:tc>
        <w:tc>
          <w:tcPr>
            <w:tcW w:w="1339" w:type="dxa"/>
            <w:tcBorders>
              <w:top w:val="nil"/>
              <w:left w:val="nil"/>
              <w:bottom w:val="single" w:sz="4" w:space="0" w:color="auto"/>
              <w:right w:val="single" w:sz="4" w:space="0" w:color="auto"/>
            </w:tcBorders>
            <w:shd w:val="clear" w:color="auto" w:fill="auto"/>
            <w:noWrap/>
            <w:vAlign w:val="bottom"/>
            <w:hideMark/>
          </w:tcPr>
          <w:p w:rsidR="0048067E" w:rsidRPr="00E35AED" w:rsidRDefault="0048067E" w:rsidP="00AD0D89">
            <w:pPr>
              <w:jc w:val="center"/>
              <w:rPr>
                <w:rFonts w:ascii="Garamond" w:eastAsia="Times New Roman" w:hAnsi="Garamond" w:cs="Times New Roman"/>
                <w:color w:val="000000"/>
              </w:rPr>
            </w:pPr>
            <w:r w:rsidRPr="00E35AED">
              <w:rPr>
                <w:rFonts w:ascii="Garamond" w:eastAsia="Times New Roman" w:hAnsi="Garamond" w:cs="Times New Roman"/>
                <w:color w:val="000000"/>
              </w:rPr>
              <w:t>-</w:t>
            </w:r>
          </w:p>
        </w:tc>
      </w:tr>
    </w:tbl>
    <w:p w:rsidR="00DE22CE" w:rsidRDefault="00DB387D" w:rsidP="008D3B9E">
      <w:pPr>
        <w:pStyle w:val="Caption"/>
        <w:spacing w:before="0" w:after="0"/>
      </w:pPr>
      <w:r w:rsidRPr="00E35AED">
        <w:t>Table 8: Central PMN (-1500 and 1900)</w:t>
      </w:r>
    </w:p>
    <w:p w:rsidR="00DB387D" w:rsidRPr="0048067E" w:rsidRDefault="00DB387D" w:rsidP="008D3B9E">
      <w:pPr>
        <w:rPr>
          <w:rFonts w:ascii="Garamond" w:hAnsi="Garamond" w:cs="Gisha"/>
          <w:sz w:val="24"/>
          <w:szCs w:val="24"/>
        </w:rPr>
      </w:pPr>
      <w:r w:rsidRPr="00DB387D">
        <w:rPr>
          <w:rFonts w:ascii="Garamond" w:hAnsi="Garamond" w:cs="Gisha"/>
          <w:sz w:val="24"/>
          <w:szCs w:val="24"/>
        </w:rPr>
        <w:t>Table 8 shows that that state/city correlation for the Central PMN declines from .63 (Table 1) to .51 when year is controlled, but that the partial correlation is still rather statistically significant for the whole period from 1500 BCE to 1900 CE.</w:t>
      </w:r>
      <w:r>
        <w:rPr>
          <w:rFonts w:ascii="Garamond" w:hAnsi="Garamond" w:cs="Gisha"/>
          <w:sz w:val="24"/>
          <w:szCs w:val="24"/>
        </w:rPr>
        <w:t xml:space="preserve"> This indicates that the long term trend accounted for some of the positive bivariate correlation, but that there is an important medium-term positive relationship between cities and states for the Central PMN. </w:t>
      </w:r>
    </w:p>
    <w:tbl>
      <w:tblPr>
        <w:tblW w:w="5939" w:type="dxa"/>
        <w:tblLook w:val="04A0" w:firstRow="1" w:lastRow="0" w:firstColumn="1" w:lastColumn="0" w:noHBand="0" w:noVBand="1"/>
      </w:tblPr>
      <w:tblGrid>
        <w:gridCol w:w="2155"/>
        <w:gridCol w:w="1080"/>
        <w:gridCol w:w="1260"/>
        <w:gridCol w:w="1444"/>
      </w:tblGrid>
      <w:tr w:rsidR="00792245" w:rsidRPr="00E35AED" w:rsidTr="00AD0D89">
        <w:trPr>
          <w:trHeight w:val="605"/>
        </w:trPr>
        <w:tc>
          <w:tcPr>
            <w:tcW w:w="32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PMN / level                          Partial Correlation</w:t>
            </w:r>
          </w:p>
        </w:tc>
        <w:tc>
          <w:tcPr>
            <w:tcW w:w="2704" w:type="dxa"/>
            <w:gridSpan w:val="2"/>
            <w:tcBorders>
              <w:top w:val="single" w:sz="4" w:space="0" w:color="auto"/>
              <w:left w:val="nil"/>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 xml:space="preserve">Central PMN               </w:t>
            </w:r>
          </w:p>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(-1500 and 1)</w:t>
            </w:r>
          </w:p>
        </w:tc>
      </w:tr>
      <w:tr w:rsidR="00792245" w:rsidRPr="00E35AED" w:rsidTr="00AD0D89">
        <w:trPr>
          <w:trHeight w:val="301"/>
        </w:trPr>
        <w:tc>
          <w:tcPr>
            <w:tcW w:w="3235" w:type="dxa"/>
            <w:gridSpan w:val="2"/>
            <w:vMerge/>
            <w:tcBorders>
              <w:top w:val="single" w:sz="4" w:space="0" w:color="auto"/>
              <w:left w:val="single" w:sz="4" w:space="0" w:color="auto"/>
              <w:bottom w:val="single" w:sz="4" w:space="0" w:color="auto"/>
              <w:right w:val="single" w:sz="4" w:space="0" w:color="auto"/>
            </w:tcBorders>
            <w:vAlign w:val="center"/>
            <w:hideMark/>
          </w:tcPr>
          <w:p w:rsidR="00792245" w:rsidRPr="00E35AED" w:rsidRDefault="00792245" w:rsidP="00AD0D89">
            <w:pPr>
              <w:rPr>
                <w:rFonts w:ascii="Garamond" w:eastAsia="Times New Roman" w:hAnsi="Garamond" w:cs="Times New Roman"/>
                <w:b/>
                <w:bCs/>
                <w:color w:val="000000"/>
              </w:rPr>
            </w:pPr>
          </w:p>
        </w:tc>
        <w:tc>
          <w:tcPr>
            <w:tcW w:w="1260"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city</w:t>
            </w:r>
          </w:p>
        </w:tc>
        <w:tc>
          <w:tcPr>
            <w:tcW w:w="1444"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state</w:t>
            </w:r>
          </w:p>
        </w:tc>
      </w:tr>
      <w:tr w:rsidR="00792245" w:rsidRPr="00E35AED" w:rsidTr="00AD0D89">
        <w:trPr>
          <w:trHeight w:val="605"/>
        </w:trPr>
        <w:tc>
          <w:tcPr>
            <w:tcW w:w="2155" w:type="dxa"/>
            <w:vMerge w:val="restart"/>
            <w:tcBorders>
              <w:top w:val="nil"/>
              <w:left w:val="single" w:sz="4" w:space="0" w:color="auto"/>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Central PMN               (-1500 and 1)</w:t>
            </w:r>
          </w:p>
        </w:tc>
        <w:tc>
          <w:tcPr>
            <w:tcW w:w="1080"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city</w:t>
            </w:r>
          </w:p>
        </w:tc>
        <w:tc>
          <w:tcPr>
            <w:tcW w:w="1260" w:type="dxa"/>
            <w:tcBorders>
              <w:top w:val="nil"/>
              <w:left w:val="nil"/>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color w:val="000000"/>
              </w:rPr>
            </w:pPr>
            <w:r w:rsidRPr="00E35AED">
              <w:rPr>
                <w:rFonts w:ascii="Garamond" w:eastAsia="Times New Roman" w:hAnsi="Garamond" w:cs="Times New Roman"/>
                <w:color w:val="000000"/>
              </w:rPr>
              <w:t>-</w:t>
            </w:r>
          </w:p>
        </w:tc>
        <w:tc>
          <w:tcPr>
            <w:tcW w:w="1444" w:type="dxa"/>
            <w:tcBorders>
              <w:top w:val="nil"/>
              <w:left w:val="nil"/>
              <w:bottom w:val="single" w:sz="4" w:space="0" w:color="auto"/>
              <w:right w:val="single" w:sz="4" w:space="0" w:color="auto"/>
            </w:tcBorders>
            <w:shd w:val="clear" w:color="auto" w:fill="auto"/>
            <w:vAlign w:val="bottom"/>
            <w:hideMark/>
          </w:tcPr>
          <w:p w:rsidR="00792245" w:rsidRPr="00792245"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-21</w:t>
            </w:r>
          </w:p>
          <w:p w:rsidR="00792245" w:rsidRPr="00E35AED"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(.264)</w:t>
            </w:r>
          </w:p>
        </w:tc>
      </w:tr>
      <w:tr w:rsidR="00792245" w:rsidRPr="00E35AED" w:rsidTr="00AD0D89">
        <w:trPr>
          <w:trHeight w:val="605"/>
        </w:trPr>
        <w:tc>
          <w:tcPr>
            <w:tcW w:w="2155" w:type="dxa"/>
            <w:vMerge/>
            <w:tcBorders>
              <w:top w:val="nil"/>
              <w:left w:val="single" w:sz="4" w:space="0" w:color="auto"/>
              <w:bottom w:val="single" w:sz="4" w:space="0" w:color="auto"/>
              <w:right w:val="single" w:sz="4" w:space="0" w:color="auto"/>
            </w:tcBorders>
            <w:vAlign w:val="center"/>
            <w:hideMark/>
          </w:tcPr>
          <w:p w:rsidR="00792245" w:rsidRPr="00E35AED" w:rsidRDefault="00792245" w:rsidP="00AD0D89">
            <w:pPr>
              <w:rPr>
                <w:rFonts w:ascii="Garamond" w:eastAsia="Times New Roman" w:hAnsi="Garamond"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state</w:t>
            </w:r>
          </w:p>
        </w:tc>
        <w:tc>
          <w:tcPr>
            <w:tcW w:w="1260" w:type="dxa"/>
            <w:tcBorders>
              <w:top w:val="nil"/>
              <w:left w:val="nil"/>
              <w:bottom w:val="single" w:sz="4" w:space="0" w:color="auto"/>
              <w:right w:val="single" w:sz="4" w:space="0" w:color="auto"/>
            </w:tcBorders>
            <w:shd w:val="clear" w:color="auto" w:fill="auto"/>
            <w:vAlign w:val="bottom"/>
            <w:hideMark/>
          </w:tcPr>
          <w:p w:rsidR="00792245" w:rsidRPr="00792245" w:rsidRDefault="00EF6582" w:rsidP="00792245">
            <w:pPr>
              <w:jc w:val="center"/>
              <w:rPr>
                <w:rFonts w:ascii="Garamond" w:eastAsia="Times New Roman" w:hAnsi="Garamond" w:cs="Times New Roman"/>
                <w:color w:val="000000"/>
              </w:rPr>
            </w:pPr>
            <w:r>
              <w:rPr>
                <w:rFonts w:ascii="Garamond" w:eastAsia="Times New Roman" w:hAnsi="Garamond" w:cs="Times New Roman"/>
                <w:color w:val="000000"/>
              </w:rPr>
              <w:t>-21</w:t>
            </w:r>
          </w:p>
          <w:p w:rsidR="00792245" w:rsidRPr="00E35AED"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(.264)</w:t>
            </w:r>
          </w:p>
        </w:tc>
        <w:tc>
          <w:tcPr>
            <w:tcW w:w="1444" w:type="dxa"/>
            <w:tcBorders>
              <w:top w:val="nil"/>
              <w:left w:val="nil"/>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color w:val="000000"/>
              </w:rPr>
            </w:pPr>
            <w:r w:rsidRPr="00E35AED">
              <w:rPr>
                <w:rFonts w:ascii="Garamond" w:eastAsia="Times New Roman" w:hAnsi="Garamond" w:cs="Times New Roman"/>
                <w:color w:val="000000"/>
              </w:rPr>
              <w:t>-</w:t>
            </w:r>
          </w:p>
        </w:tc>
      </w:tr>
    </w:tbl>
    <w:p w:rsidR="00DE22CE" w:rsidRPr="00DE22CE" w:rsidRDefault="00DB387D" w:rsidP="008D3B9E">
      <w:pPr>
        <w:pStyle w:val="Caption"/>
        <w:spacing w:before="0" w:after="0"/>
        <w:rPr>
          <w:rFonts w:ascii="Garamond" w:hAnsi="Garamond" w:cs="Gisha"/>
        </w:rPr>
      </w:pPr>
      <w:r w:rsidRPr="00E35AED">
        <w:lastRenderedPageBreak/>
        <w:t>Table 9: Central PMN (-1500 and 1)</w:t>
      </w:r>
    </w:p>
    <w:p w:rsidR="00DE22CE" w:rsidRDefault="00EF6582" w:rsidP="008D3B9E">
      <w:pPr>
        <w:rPr>
          <w:rFonts w:ascii="Garamond" w:hAnsi="Garamond" w:cs="Gisha"/>
          <w:sz w:val="24"/>
          <w:szCs w:val="24"/>
        </w:rPr>
      </w:pPr>
      <w:r w:rsidRPr="00EF6582">
        <w:rPr>
          <w:rFonts w:ascii="Garamond" w:hAnsi="Garamond" w:cs="Gisha"/>
          <w:sz w:val="24"/>
          <w:szCs w:val="24"/>
        </w:rPr>
        <w:t xml:space="preserve">Table 9 looks at the </w:t>
      </w:r>
      <w:proofErr w:type="spellStart"/>
      <w:r w:rsidR="008D3B9E">
        <w:rPr>
          <w:rFonts w:ascii="Garamond" w:hAnsi="Garamond" w:cs="Gisha"/>
          <w:sz w:val="24"/>
          <w:szCs w:val="24"/>
        </w:rPr>
        <w:t>subperiod</w:t>
      </w:r>
      <w:proofErr w:type="spellEnd"/>
      <w:r w:rsidR="008D3B9E">
        <w:rPr>
          <w:rFonts w:ascii="Garamond" w:hAnsi="Garamond" w:cs="Gisha"/>
          <w:sz w:val="24"/>
          <w:szCs w:val="24"/>
        </w:rPr>
        <w:t xml:space="preserve"> before the advent of the Common Era  (BCE) </w:t>
      </w:r>
      <w:r>
        <w:rPr>
          <w:rFonts w:ascii="Garamond" w:hAnsi="Garamond" w:cs="Gisha"/>
          <w:sz w:val="24"/>
          <w:szCs w:val="24"/>
        </w:rPr>
        <w:t xml:space="preserve">for the Central PMN </w:t>
      </w:r>
      <w:r w:rsidRPr="00EF6582">
        <w:rPr>
          <w:rFonts w:ascii="Garamond" w:hAnsi="Garamond" w:cs="Gisha"/>
          <w:sz w:val="24"/>
          <w:szCs w:val="24"/>
        </w:rPr>
        <w:t>and shows a</w:t>
      </w:r>
      <w:r>
        <w:rPr>
          <w:rFonts w:ascii="Garamond" w:hAnsi="Garamond" w:cs="Gisha"/>
          <w:sz w:val="24"/>
          <w:szCs w:val="24"/>
        </w:rPr>
        <w:t xml:space="preserve"> negative relationship during this period, just the opposite of what we found for the East Asian PMN.</w:t>
      </w:r>
    </w:p>
    <w:tbl>
      <w:tblPr>
        <w:tblW w:w="5855" w:type="dxa"/>
        <w:tblLook w:val="04A0" w:firstRow="1" w:lastRow="0" w:firstColumn="1" w:lastColumn="0" w:noHBand="0" w:noVBand="1"/>
      </w:tblPr>
      <w:tblGrid>
        <w:gridCol w:w="1603"/>
        <w:gridCol w:w="1276"/>
        <w:gridCol w:w="1487"/>
        <w:gridCol w:w="1489"/>
      </w:tblGrid>
      <w:tr w:rsidR="00792245" w:rsidRPr="00E35AED" w:rsidTr="00AD0D89">
        <w:trPr>
          <w:trHeight w:val="577"/>
        </w:trPr>
        <w:tc>
          <w:tcPr>
            <w:tcW w:w="2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92245" w:rsidRPr="00E35AED" w:rsidRDefault="00792245" w:rsidP="008D3B9E">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PMN / level                          Partial Correlation</w:t>
            </w:r>
          </w:p>
        </w:tc>
        <w:tc>
          <w:tcPr>
            <w:tcW w:w="2976" w:type="dxa"/>
            <w:gridSpan w:val="2"/>
            <w:tcBorders>
              <w:top w:val="single" w:sz="4" w:space="0" w:color="auto"/>
              <w:left w:val="nil"/>
              <w:bottom w:val="single" w:sz="4" w:space="0" w:color="auto"/>
              <w:right w:val="single" w:sz="4" w:space="0" w:color="auto"/>
            </w:tcBorders>
            <w:shd w:val="clear" w:color="auto" w:fill="auto"/>
            <w:vAlign w:val="bottom"/>
            <w:hideMark/>
          </w:tcPr>
          <w:p w:rsidR="00792245" w:rsidRPr="00E35AED" w:rsidRDefault="00792245" w:rsidP="008D3B9E">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 xml:space="preserve">Central PMN               </w:t>
            </w:r>
          </w:p>
          <w:p w:rsidR="00792245" w:rsidRPr="00E35AED" w:rsidRDefault="00792245" w:rsidP="008D3B9E">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(1 and 1900)</w:t>
            </w:r>
          </w:p>
        </w:tc>
      </w:tr>
      <w:tr w:rsidR="00792245" w:rsidRPr="00E35AED" w:rsidTr="00AD0D89">
        <w:trPr>
          <w:trHeight w:val="288"/>
        </w:trPr>
        <w:tc>
          <w:tcPr>
            <w:tcW w:w="2879" w:type="dxa"/>
            <w:gridSpan w:val="2"/>
            <w:vMerge/>
            <w:tcBorders>
              <w:top w:val="single" w:sz="4" w:space="0" w:color="auto"/>
              <w:left w:val="single" w:sz="4" w:space="0" w:color="auto"/>
              <w:bottom w:val="single" w:sz="4" w:space="0" w:color="auto"/>
              <w:right w:val="single" w:sz="4" w:space="0" w:color="auto"/>
            </w:tcBorders>
            <w:vAlign w:val="center"/>
            <w:hideMark/>
          </w:tcPr>
          <w:p w:rsidR="00792245" w:rsidRPr="00E35AED" w:rsidRDefault="00792245" w:rsidP="00AD0D89">
            <w:pPr>
              <w:rPr>
                <w:rFonts w:ascii="Garamond" w:eastAsia="Times New Roman" w:hAnsi="Garamond" w:cs="Times New Roman"/>
                <w:b/>
                <w:bCs/>
                <w:color w:val="000000"/>
              </w:rPr>
            </w:pPr>
          </w:p>
        </w:tc>
        <w:tc>
          <w:tcPr>
            <w:tcW w:w="1487"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city</w:t>
            </w:r>
          </w:p>
        </w:tc>
        <w:tc>
          <w:tcPr>
            <w:tcW w:w="1489"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state</w:t>
            </w:r>
          </w:p>
        </w:tc>
      </w:tr>
      <w:tr w:rsidR="00792245" w:rsidRPr="00E35AED" w:rsidTr="00AD0D89">
        <w:trPr>
          <w:trHeight w:val="577"/>
        </w:trPr>
        <w:tc>
          <w:tcPr>
            <w:tcW w:w="1603" w:type="dxa"/>
            <w:vMerge w:val="restart"/>
            <w:tcBorders>
              <w:top w:val="nil"/>
              <w:left w:val="single" w:sz="4" w:space="0" w:color="auto"/>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Central PMN               (1 and 1900)</w:t>
            </w:r>
          </w:p>
        </w:tc>
        <w:tc>
          <w:tcPr>
            <w:tcW w:w="1276"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city</w:t>
            </w:r>
          </w:p>
        </w:tc>
        <w:tc>
          <w:tcPr>
            <w:tcW w:w="1487" w:type="dxa"/>
            <w:tcBorders>
              <w:top w:val="nil"/>
              <w:left w:val="nil"/>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color w:val="000000"/>
              </w:rPr>
            </w:pPr>
            <w:r w:rsidRPr="00E35AED">
              <w:rPr>
                <w:rFonts w:ascii="Garamond" w:eastAsia="Times New Roman" w:hAnsi="Garamond" w:cs="Times New Roman"/>
                <w:color w:val="000000"/>
              </w:rPr>
              <w:t>-</w:t>
            </w:r>
          </w:p>
        </w:tc>
        <w:tc>
          <w:tcPr>
            <w:tcW w:w="1489"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.54</w:t>
            </w:r>
            <w:r w:rsidR="00792245" w:rsidRPr="00792245">
              <w:rPr>
                <w:rFonts w:ascii="Garamond" w:eastAsia="Times New Roman" w:hAnsi="Garamond" w:cs="Times New Roman"/>
                <w:color w:val="000000"/>
              </w:rPr>
              <w:t>***</w:t>
            </w:r>
          </w:p>
          <w:p w:rsidR="00792245" w:rsidRPr="00E35AED"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(.000)</w:t>
            </w:r>
          </w:p>
        </w:tc>
      </w:tr>
      <w:tr w:rsidR="00792245" w:rsidRPr="00E35AED" w:rsidTr="00AD0D89">
        <w:trPr>
          <w:trHeight w:val="577"/>
        </w:trPr>
        <w:tc>
          <w:tcPr>
            <w:tcW w:w="1603" w:type="dxa"/>
            <w:vMerge/>
            <w:tcBorders>
              <w:top w:val="nil"/>
              <w:left w:val="single" w:sz="4" w:space="0" w:color="auto"/>
              <w:bottom w:val="single" w:sz="4" w:space="0" w:color="auto"/>
              <w:right w:val="single" w:sz="4" w:space="0" w:color="auto"/>
            </w:tcBorders>
            <w:vAlign w:val="center"/>
            <w:hideMark/>
          </w:tcPr>
          <w:p w:rsidR="00792245" w:rsidRPr="00E35AED" w:rsidRDefault="00792245" w:rsidP="00AD0D89">
            <w:pPr>
              <w:rPr>
                <w:rFonts w:ascii="Garamond" w:eastAsia="Times New Roman" w:hAnsi="Garamond" w:cs="Times New Roman"/>
                <w:b/>
                <w:bCs/>
                <w:color w:val="000000"/>
              </w:rPr>
            </w:pPr>
          </w:p>
        </w:tc>
        <w:tc>
          <w:tcPr>
            <w:tcW w:w="1276" w:type="dxa"/>
            <w:tcBorders>
              <w:top w:val="nil"/>
              <w:left w:val="nil"/>
              <w:bottom w:val="single" w:sz="4" w:space="0" w:color="auto"/>
              <w:right w:val="single" w:sz="4" w:space="0" w:color="auto"/>
            </w:tcBorders>
            <w:shd w:val="clear" w:color="auto" w:fill="auto"/>
            <w:noWrap/>
            <w:vAlign w:val="bottom"/>
            <w:hideMark/>
          </w:tcPr>
          <w:p w:rsidR="00792245" w:rsidRPr="00E35AED" w:rsidRDefault="00792245" w:rsidP="00AD0D89">
            <w:pPr>
              <w:jc w:val="center"/>
              <w:rPr>
                <w:rFonts w:ascii="Garamond" w:eastAsia="Times New Roman" w:hAnsi="Garamond" w:cs="Times New Roman"/>
                <w:b/>
                <w:bCs/>
                <w:color w:val="000000"/>
              </w:rPr>
            </w:pPr>
            <w:r w:rsidRPr="00E35AED">
              <w:rPr>
                <w:rFonts w:ascii="Garamond" w:eastAsia="Times New Roman" w:hAnsi="Garamond" w:cs="Times New Roman"/>
                <w:b/>
                <w:bCs/>
                <w:color w:val="000000"/>
              </w:rPr>
              <w:t>state</w:t>
            </w:r>
          </w:p>
        </w:tc>
        <w:tc>
          <w:tcPr>
            <w:tcW w:w="1487"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.54</w:t>
            </w:r>
            <w:r w:rsidR="00792245" w:rsidRPr="00792245">
              <w:rPr>
                <w:rFonts w:ascii="Garamond" w:eastAsia="Times New Roman" w:hAnsi="Garamond" w:cs="Times New Roman"/>
                <w:color w:val="000000"/>
              </w:rPr>
              <w:t>***</w:t>
            </w:r>
          </w:p>
          <w:p w:rsidR="00792245" w:rsidRPr="00E35AED"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(.000)</w:t>
            </w:r>
          </w:p>
        </w:tc>
        <w:tc>
          <w:tcPr>
            <w:tcW w:w="1489" w:type="dxa"/>
            <w:tcBorders>
              <w:top w:val="nil"/>
              <w:left w:val="nil"/>
              <w:bottom w:val="single" w:sz="4" w:space="0" w:color="auto"/>
              <w:right w:val="single" w:sz="4" w:space="0" w:color="auto"/>
            </w:tcBorders>
            <w:shd w:val="clear" w:color="auto" w:fill="auto"/>
            <w:vAlign w:val="bottom"/>
            <w:hideMark/>
          </w:tcPr>
          <w:p w:rsidR="00792245" w:rsidRPr="00E35AED" w:rsidRDefault="00792245" w:rsidP="00AD0D89">
            <w:pPr>
              <w:jc w:val="center"/>
              <w:rPr>
                <w:rFonts w:ascii="Garamond" w:eastAsia="Times New Roman" w:hAnsi="Garamond" w:cs="Times New Roman"/>
                <w:color w:val="000000"/>
              </w:rPr>
            </w:pPr>
            <w:r w:rsidRPr="00E35AED">
              <w:rPr>
                <w:rFonts w:ascii="Garamond" w:eastAsia="Times New Roman" w:hAnsi="Garamond" w:cs="Times New Roman"/>
                <w:color w:val="000000"/>
              </w:rPr>
              <w:t>-</w:t>
            </w:r>
          </w:p>
        </w:tc>
      </w:tr>
    </w:tbl>
    <w:p w:rsidR="00DE22CE" w:rsidRDefault="00EF6582" w:rsidP="008D3B9E">
      <w:pPr>
        <w:pStyle w:val="Caption"/>
        <w:spacing w:before="0" w:after="0"/>
      </w:pPr>
      <w:r w:rsidRPr="00E35AED">
        <w:t>Table 10: Central PMN (1 and 1900)</w:t>
      </w:r>
    </w:p>
    <w:p w:rsidR="00404FE8" w:rsidRPr="00404FE8" w:rsidRDefault="00404FE8" w:rsidP="008D3B9E">
      <w:pPr>
        <w:rPr>
          <w:rFonts w:ascii="Garamond" w:hAnsi="Garamond"/>
          <w:sz w:val="24"/>
          <w:szCs w:val="24"/>
          <w:lang w:eastAsia="en-US"/>
        </w:rPr>
      </w:pPr>
      <w:r w:rsidRPr="00404FE8">
        <w:rPr>
          <w:rFonts w:ascii="Garamond" w:hAnsi="Garamond"/>
          <w:sz w:val="24"/>
          <w:szCs w:val="24"/>
          <w:lang w:eastAsia="en-US"/>
        </w:rPr>
        <w:t>The Common Era for the Central PMN shows as large and statistically significant positive partial correlation between city and state sizes.</w:t>
      </w:r>
      <w:r>
        <w:rPr>
          <w:rFonts w:ascii="Garamond" w:hAnsi="Garamond"/>
          <w:sz w:val="24"/>
          <w:szCs w:val="24"/>
          <w:lang w:eastAsia="en-US"/>
        </w:rPr>
        <w:t xml:space="preserve"> Again this is </w:t>
      </w:r>
      <w:r w:rsidR="00C1198D">
        <w:rPr>
          <w:rFonts w:ascii="Garamond" w:hAnsi="Garamond"/>
          <w:sz w:val="24"/>
          <w:szCs w:val="24"/>
          <w:lang w:eastAsia="en-US"/>
        </w:rPr>
        <w:t>quite different from</w:t>
      </w:r>
      <w:r>
        <w:rPr>
          <w:rFonts w:ascii="Garamond" w:hAnsi="Garamond"/>
          <w:sz w:val="24"/>
          <w:szCs w:val="24"/>
          <w:lang w:eastAsia="en-US"/>
        </w:rPr>
        <w:t xml:space="preserve"> what we found for the Common Era period of the East Asian PMN.</w:t>
      </w:r>
    </w:p>
    <w:tbl>
      <w:tblPr>
        <w:tblW w:w="7558" w:type="dxa"/>
        <w:tblLayout w:type="fixed"/>
        <w:tblLook w:val="04A0" w:firstRow="1" w:lastRow="0" w:firstColumn="1" w:lastColumn="0" w:noHBand="0" w:noVBand="1"/>
      </w:tblPr>
      <w:tblGrid>
        <w:gridCol w:w="1975"/>
        <w:gridCol w:w="1048"/>
        <w:gridCol w:w="1511"/>
        <w:gridCol w:w="1511"/>
        <w:gridCol w:w="1513"/>
      </w:tblGrid>
      <w:tr w:rsidR="00792245" w:rsidRPr="002649F6" w:rsidTr="00AD0D89">
        <w:trPr>
          <w:trHeight w:val="531"/>
        </w:trPr>
        <w:tc>
          <w:tcPr>
            <w:tcW w:w="30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PMN / level                          Partial Correlation</w:t>
            </w:r>
          </w:p>
        </w:tc>
        <w:tc>
          <w:tcPr>
            <w:tcW w:w="4535" w:type="dxa"/>
            <w:gridSpan w:val="3"/>
            <w:tcBorders>
              <w:top w:val="single" w:sz="4" w:space="0" w:color="auto"/>
              <w:left w:val="nil"/>
              <w:bottom w:val="single" w:sz="8" w:space="0" w:color="auto"/>
              <w:right w:val="single" w:sz="4" w:space="0" w:color="000000"/>
            </w:tcBorders>
            <w:shd w:val="clear" w:color="auto" w:fill="auto"/>
            <w:vAlign w:val="bottom"/>
            <w:hideMark/>
          </w:tcPr>
          <w:p w:rsidR="00792245"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 xml:space="preserve">Mesopotamia      </w:t>
            </w:r>
            <w:r>
              <w:rPr>
                <w:rFonts w:ascii="Garamond" w:eastAsia="Times New Roman" w:hAnsi="Garamond" w:cs="Times New Roman"/>
                <w:b/>
                <w:bCs/>
                <w:color w:val="000000"/>
              </w:rPr>
              <w:t xml:space="preserve">                               </w:t>
            </w:r>
          </w:p>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 xml:space="preserve"> (-2700 to -1500) </w:t>
            </w:r>
          </w:p>
        </w:tc>
      </w:tr>
      <w:tr w:rsidR="00792245" w:rsidRPr="002649F6" w:rsidTr="00AD0D89">
        <w:trPr>
          <w:trHeight w:val="265"/>
        </w:trPr>
        <w:tc>
          <w:tcPr>
            <w:tcW w:w="3023" w:type="dxa"/>
            <w:gridSpan w:val="2"/>
            <w:vMerge/>
            <w:tcBorders>
              <w:top w:val="single" w:sz="4" w:space="0" w:color="auto"/>
              <w:left w:val="single" w:sz="4" w:space="0" w:color="auto"/>
              <w:bottom w:val="single" w:sz="4" w:space="0" w:color="auto"/>
              <w:right w:val="single" w:sz="4" w:space="0" w:color="auto"/>
            </w:tcBorders>
            <w:vAlign w:val="center"/>
            <w:hideMark/>
          </w:tcPr>
          <w:p w:rsidR="00792245" w:rsidRPr="002649F6" w:rsidRDefault="00792245" w:rsidP="00AD0D89">
            <w:pPr>
              <w:rPr>
                <w:rFonts w:ascii="Garamond" w:eastAsia="Times New Roman" w:hAnsi="Garamond" w:cs="Times New Roman"/>
                <w:b/>
                <w:bCs/>
                <w:color w:val="000000"/>
              </w:rPr>
            </w:pPr>
          </w:p>
        </w:tc>
        <w:tc>
          <w:tcPr>
            <w:tcW w:w="1511" w:type="dxa"/>
            <w:tcBorders>
              <w:top w:val="nil"/>
              <w:left w:val="nil"/>
              <w:bottom w:val="single" w:sz="4" w:space="0" w:color="auto"/>
              <w:right w:val="single" w:sz="4" w:space="0" w:color="auto"/>
            </w:tcBorders>
            <w:shd w:val="clear" w:color="auto" w:fill="auto"/>
            <w:noWrap/>
            <w:vAlign w:val="bottom"/>
            <w:hideMark/>
          </w:tcPr>
          <w:p w:rsidR="00792245" w:rsidRPr="002649F6" w:rsidRDefault="00384018"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511"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state</w:t>
            </w:r>
          </w:p>
        </w:tc>
        <w:tc>
          <w:tcPr>
            <w:tcW w:w="1513"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city</w:t>
            </w:r>
          </w:p>
        </w:tc>
      </w:tr>
      <w:tr w:rsidR="00792245" w:rsidRPr="002649F6" w:rsidTr="00AD0D89">
        <w:trPr>
          <w:trHeight w:val="531"/>
        </w:trPr>
        <w:tc>
          <w:tcPr>
            <w:tcW w:w="1975" w:type="dxa"/>
            <w:vMerge w:val="restart"/>
            <w:tcBorders>
              <w:top w:val="nil"/>
              <w:left w:val="single" w:sz="4" w:space="0" w:color="auto"/>
              <w:bottom w:val="single" w:sz="4" w:space="0" w:color="auto"/>
              <w:right w:val="single" w:sz="4" w:space="0" w:color="auto"/>
            </w:tcBorders>
            <w:shd w:val="clear" w:color="auto" w:fill="auto"/>
            <w:vAlign w:val="center"/>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 xml:space="preserve">Mesopotamia                                       (-2700 to -1500) </w:t>
            </w:r>
          </w:p>
        </w:tc>
        <w:tc>
          <w:tcPr>
            <w:tcW w:w="1048" w:type="dxa"/>
            <w:tcBorders>
              <w:top w:val="nil"/>
              <w:left w:val="nil"/>
              <w:bottom w:val="single" w:sz="4" w:space="0" w:color="auto"/>
              <w:right w:val="single" w:sz="4" w:space="0" w:color="auto"/>
            </w:tcBorders>
            <w:shd w:val="clear" w:color="auto" w:fill="auto"/>
            <w:noWrap/>
            <w:vAlign w:val="bottom"/>
            <w:hideMark/>
          </w:tcPr>
          <w:p w:rsidR="00792245" w:rsidRPr="002649F6" w:rsidRDefault="00384018"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511" w:type="dxa"/>
            <w:tcBorders>
              <w:top w:val="nil"/>
              <w:left w:val="nil"/>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color w:val="000000"/>
              </w:rPr>
            </w:pPr>
            <w:r w:rsidRPr="002649F6">
              <w:rPr>
                <w:rFonts w:ascii="Garamond" w:eastAsia="Times New Roman" w:hAnsi="Garamond" w:cs="Times New Roman"/>
                <w:color w:val="000000"/>
              </w:rPr>
              <w:t>-</w:t>
            </w:r>
          </w:p>
        </w:tc>
        <w:tc>
          <w:tcPr>
            <w:tcW w:w="1511"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.16</w:t>
            </w:r>
          </w:p>
          <w:p w:rsidR="00792245" w:rsidRPr="002649F6"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(.618)</w:t>
            </w:r>
          </w:p>
        </w:tc>
        <w:tc>
          <w:tcPr>
            <w:tcW w:w="1513"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.45</w:t>
            </w:r>
          </w:p>
          <w:p w:rsidR="00792245" w:rsidRPr="002649F6"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(.144)</w:t>
            </w:r>
          </w:p>
        </w:tc>
      </w:tr>
      <w:tr w:rsidR="00792245" w:rsidRPr="002649F6" w:rsidTr="00AD0D89">
        <w:trPr>
          <w:trHeight w:val="531"/>
        </w:trPr>
        <w:tc>
          <w:tcPr>
            <w:tcW w:w="1975" w:type="dxa"/>
            <w:vMerge/>
            <w:tcBorders>
              <w:top w:val="nil"/>
              <w:left w:val="single" w:sz="4" w:space="0" w:color="auto"/>
              <w:bottom w:val="single" w:sz="4" w:space="0" w:color="auto"/>
              <w:right w:val="single" w:sz="4" w:space="0" w:color="auto"/>
            </w:tcBorders>
            <w:vAlign w:val="center"/>
            <w:hideMark/>
          </w:tcPr>
          <w:p w:rsidR="00792245" w:rsidRPr="002649F6" w:rsidRDefault="00792245" w:rsidP="00AD0D89">
            <w:pPr>
              <w:rPr>
                <w:rFonts w:ascii="Garamond" w:eastAsia="Times New Roman" w:hAnsi="Garamond" w:cs="Times New Roman"/>
                <w:b/>
                <w:bCs/>
                <w:color w:val="000000"/>
              </w:rPr>
            </w:pPr>
          </w:p>
        </w:tc>
        <w:tc>
          <w:tcPr>
            <w:tcW w:w="1048"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state</w:t>
            </w:r>
          </w:p>
        </w:tc>
        <w:tc>
          <w:tcPr>
            <w:tcW w:w="1511"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.16</w:t>
            </w:r>
          </w:p>
          <w:p w:rsidR="00792245" w:rsidRPr="002649F6"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(.618)</w:t>
            </w:r>
          </w:p>
        </w:tc>
        <w:tc>
          <w:tcPr>
            <w:tcW w:w="1511" w:type="dxa"/>
            <w:tcBorders>
              <w:top w:val="nil"/>
              <w:left w:val="nil"/>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color w:val="000000"/>
              </w:rPr>
            </w:pPr>
            <w:r w:rsidRPr="002649F6">
              <w:rPr>
                <w:rFonts w:ascii="Garamond" w:eastAsia="Times New Roman" w:hAnsi="Garamond" w:cs="Times New Roman"/>
                <w:color w:val="000000"/>
              </w:rPr>
              <w:t>-</w:t>
            </w:r>
          </w:p>
        </w:tc>
        <w:tc>
          <w:tcPr>
            <w:tcW w:w="1513"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.16</w:t>
            </w:r>
          </w:p>
          <w:p w:rsidR="00792245" w:rsidRPr="002649F6"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(.624)</w:t>
            </w:r>
          </w:p>
        </w:tc>
      </w:tr>
      <w:tr w:rsidR="00792245" w:rsidRPr="002649F6" w:rsidTr="00AD0D89">
        <w:trPr>
          <w:trHeight w:val="531"/>
        </w:trPr>
        <w:tc>
          <w:tcPr>
            <w:tcW w:w="1975" w:type="dxa"/>
            <w:vMerge/>
            <w:tcBorders>
              <w:top w:val="nil"/>
              <w:left w:val="single" w:sz="4" w:space="0" w:color="auto"/>
              <w:bottom w:val="single" w:sz="4" w:space="0" w:color="auto"/>
              <w:right w:val="single" w:sz="4" w:space="0" w:color="auto"/>
            </w:tcBorders>
            <w:vAlign w:val="center"/>
            <w:hideMark/>
          </w:tcPr>
          <w:p w:rsidR="00792245" w:rsidRPr="002649F6" w:rsidRDefault="00792245" w:rsidP="00AD0D89">
            <w:pPr>
              <w:rPr>
                <w:rFonts w:ascii="Garamond" w:eastAsia="Times New Roman" w:hAnsi="Garamond" w:cs="Times New Roman"/>
                <w:b/>
                <w:bCs/>
                <w:color w:val="000000"/>
              </w:rPr>
            </w:pPr>
          </w:p>
        </w:tc>
        <w:tc>
          <w:tcPr>
            <w:tcW w:w="1048"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city</w:t>
            </w:r>
          </w:p>
        </w:tc>
        <w:tc>
          <w:tcPr>
            <w:tcW w:w="1511"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.45</w:t>
            </w:r>
          </w:p>
          <w:p w:rsidR="00792245" w:rsidRPr="002649F6"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(.144)</w:t>
            </w:r>
          </w:p>
        </w:tc>
        <w:tc>
          <w:tcPr>
            <w:tcW w:w="1511" w:type="dxa"/>
            <w:tcBorders>
              <w:top w:val="nil"/>
              <w:left w:val="nil"/>
              <w:bottom w:val="single" w:sz="4" w:space="0" w:color="auto"/>
              <w:right w:val="single" w:sz="4" w:space="0" w:color="auto"/>
            </w:tcBorders>
            <w:shd w:val="clear" w:color="auto" w:fill="auto"/>
            <w:vAlign w:val="bottom"/>
            <w:hideMark/>
          </w:tcPr>
          <w:p w:rsidR="00792245" w:rsidRPr="00792245" w:rsidRDefault="008D3B9E" w:rsidP="00792245">
            <w:pPr>
              <w:jc w:val="center"/>
              <w:rPr>
                <w:rFonts w:ascii="Garamond" w:eastAsia="Times New Roman" w:hAnsi="Garamond" w:cs="Times New Roman"/>
                <w:color w:val="000000"/>
              </w:rPr>
            </w:pPr>
            <w:r>
              <w:rPr>
                <w:rFonts w:ascii="Garamond" w:eastAsia="Times New Roman" w:hAnsi="Garamond" w:cs="Times New Roman"/>
                <w:color w:val="000000"/>
              </w:rPr>
              <w:t>.16</w:t>
            </w:r>
          </w:p>
          <w:p w:rsidR="00792245" w:rsidRPr="002649F6" w:rsidRDefault="00792245" w:rsidP="00792245">
            <w:pPr>
              <w:jc w:val="center"/>
              <w:rPr>
                <w:rFonts w:ascii="Garamond" w:eastAsia="Times New Roman" w:hAnsi="Garamond" w:cs="Times New Roman"/>
                <w:color w:val="000000"/>
              </w:rPr>
            </w:pPr>
            <w:r w:rsidRPr="00792245">
              <w:rPr>
                <w:rFonts w:ascii="Garamond" w:eastAsia="Times New Roman" w:hAnsi="Garamond" w:cs="Times New Roman"/>
                <w:color w:val="000000"/>
              </w:rPr>
              <w:t>(.624)</w:t>
            </w:r>
          </w:p>
        </w:tc>
        <w:tc>
          <w:tcPr>
            <w:tcW w:w="1513" w:type="dxa"/>
            <w:tcBorders>
              <w:top w:val="nil"/>
              <w:left w:val="nil"/>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color w:val="000000"/>
              </w:rPr>
            </w:pPr>
            <w:r w:rsidRPr="002649F6">
              <w:rPr>
                <w:rFonts w:ascii="Garamond" w:eastAsia="Times New Roman" w:hAnsi="Garamond" w:cs="Times New Roman"/>
                <w:color w:val="000000"/>
              </w:rPr>
              <w:t>-</w:t>
            </w:r>
          </w:p>
        </w:tc>
      </w:tr>
    </w:tbl>
    <w:p w:rsidR="00DE22CE" w:rsidRDefault="008D3B9E" w:rsidP="008D3B9E">
      <w:pPr>
        <w:pStyle w:val="Caption"/>
        <w:rPr>
          <w:rFonts w:ascii="Garamond" w:hAnsi="Garamond"/>
          <w:sz w:val="24"/>
          <w:szCs w:val="24"/>
        </w:rPr>
      </w:pPr>
      <w:r>
        <w:t xml:space="preserve">Table 11: </w:t>
      </w:r>
      <w:r w:rsidRPr="002649F6">
        <w:t>Mesopotamian PMN</w:t>
      </w:r>
      <w:r>
        <w:t xml:space="preserve"> (2700 to 1500 BCE) (N=13)</w:t>
      </w:r>
    </w:p>
    <w:p w:rsidR="008D3B9E" w:rsidRDefault="008D3B9E" w:rsidP="008D3B9E">
      <w:pPr>
        <w:rPr>
          <w:rFonts w:ascii="Garamond" w:hAnsi="Garamond"/>
          <w:sz w:val="24"/>
          <w:szCs w:val="24"/>
          <w:lang w:eastAsia="en-US"/>
        </w:rPr>
      </w:pPr>
      <w:r w:rsidRPr="00384018">
        <w:rPr>
          <w:rFonts w:ascii="Garamond" w:hAnsi="Garamond"/>
          <w:sz w:val="24"/>
          <w:szCs w:val="24"/>
          <w:lang w:eastAsia="en-US"/>
        </w:rPr>
        <w:t>Table 11 shows that the partial correlation between</w:t>
      </w:r>
      <w:r w:rsidR="00384018">
        <w:rPr>
          <w:rFonts w:ascii="Garamond" w:hAnsi="Garamond"/>
          <w:sz w:val="24"/>
          <w:szCs w:val="24"/>
          <w:lang w:eastAsia="en-US"/>
        </w:rPr>
        <w:t xml:space="preserve"> Mesopotamian</w:t>
      </w:r>
      <w:r w:rsidRPr="00384018">
        <w:rPr>
          <w:rFonts w:ascii="Garamond" w:hAnsi="Garamond"/>
          <w:sz w:val="24"/>
          <w:szCs w:val="24"/>
          <w:lang w:eastAsia="en-US"/>
        </w:rPr>
        <w:t xml:space="preserve"> power configuration and city size</w:t>
      </w:r>
      <w:r w:rsidR="00384018">
        <w:rPr>
          <w:rFonts w:ascii="Garamond" w:hAnsi="Garamond"/>
          <w:sz w:val="24"/>
          <w:szCs w:val="24"/>
          <w:lang w:eastAsia="en-US"/>
        </w:rPr>
        <w:t xml:space="preserve"> for the period between 2700 BCE and 1500 BCE is .45</w:t>
      </w:r>
      <w:r w:rsidRPr="00384018">
        <w:rPr>
          <w:rFonts w:ascii="Garamond" w:hAnsi="Garamond"/>
          <w:sz w:val="24"/>
          <w:szCs w:val="24"/>
          <w:lang w:eastAsia="en-US"/>
        </w:rPr>
        <w:t>. This is more positive tha</w:t>
      </w:r>
      <w:r w:rsidR="00D63D40">
        <w:rPr>
          <w:rFonts w:ascii="Garamond" w:hAnsi="Garamond"/>
          <w:sz w:val="24"/>
          <w:szCs w:val="24"/>
          <w:lang w:eastAsia="en-US"/>
        </w:rPr>
        <w:t>n the bivariate correlation (.26</w:t>
      </w:r>
      <w:r w:rsidRPr="00384018">
        <w:rPr>
          <w:rFonts w:ascii="Garamond" w:hAnsi="Garamond"/>
          <w:sz w:val="24"/>
          <w:szCs w:val="24"/>
          <w:lang w:eastAsia="en-US"/>
        </w:rPr>
        <w:t>), so controlling for year increases this correlation.  The partial correlation between power configuration and the s</w:t>
      </w:r>
      <w:r w:rsidR="00D63D40">
        <w:rPr>
          <w:rFonts w:ascii="Garamond" w:hAnsi="Garamond"/>
          <w:sz w:val="24"/>
          <w:szCs w:val="24"/>
          <w:lang w:eastAsia="en-US"/>
        </w:rPr>
        <w:t>ize of the largest polity is .16</w:t>
      </w:r>
      <w:r w:rsidRPr="00384018">
        <w:rPr>
          <w:rFonts w:ascii="Garamond" w:hAnsi="Garamond"/>
          <w:sz w:val="24"/>
          <w:szCs w:val="24"/>
          <w:lang w:eastAsia="en-US"/>
        </w:rPr>
        <w:t>, which is</w:t>
      </w:r>
      <w:r w:rsidR="00D63D40">
        <w:rPr>
          <w:rFonts w:ascii="Garamond" w:hAnsi="Garamond"/>
          <w:sz w:val="24"/>
          <w:szCs w:val="24"/>
          <w:lang w:eastAsia="en-US"/>
        </w:rPr>
        <w:t xml:space="preserve"> nearly</w:t>
      </w:r>
      <w:r w:rsidRPr="00384018">
        <w:rPr>
          <w:rFonts w:ascii="Garamond" w:hAnsi="Garamond"/>
          <w:sz w:val="24"/>
          <w:szCs w:val="24"/>
          <w:lang w:eastAsia="en-US"/>
        </w:rPr>
        <w:t xml:space="preserve"> the same as the bivariate correlation shown in Table 1</w:t>
      </w:r>
      <w:r w:rsidR="00D63D40">
        <w:rPr>
          <w:rFonts w:ascii="Garamond" w:hAnsi="Garamond"/>
          <w:sz w:val="24"/>
          <w:szCs w:val="24"/>
          <w:lang w:eastAsia="en-US"/>
        </w:rPr>
        <w:t xml:space="preserve"> (.17)</w:t>
      </w:r>
      <w:r w:rsidRPr="00384018">
        <w:rPr>
          <w:rFonts w:ascii="Garamond" w:hAnsi="Garamond"/>
          <w:sz w:val="24"/>
          <w:szCs w:val="24"/>
          <w:lang w:eastAsia="en-US"/>
        </w:rPr>
        <w:t xml:space="preserve">.  The logical overlap between these two variables is not large enough to produce a very high </w:t>
      </w:r>
      <w:r w:rsidR="00D63D40">
        <w:rPr>
          <w:rFonts w:ascii="Garamond" w:hAnsi="Garamond"/>
          <w:sz w:val="24"/>
          <w:szCs w:val="24"/>
          <w:lang w:eastAsia="en-US"/>
        </w:rPr>
        <w:t xml:space="preserve">positive </w:t>
      </w:r>
      <w:r w:rsidRPr="00384018">
        <w:rPr>
          <w:rFonts w:ascii="Garamond" w:hAnsi="Garamond"/>
          <w:sz w:val="24"/>
          <w:szCs w:val="24"/>
          <w:lang w:eastAsia="en-US"/>
        </w:rPr>
        <w:t>correlation over time in Mesopotamia.</w:t>
      </w:r>
      <w:r>
        <w:rPr>
          <w:rFonts w:ascii="Garamond" w:hAnsi="Garamond"/>
          <w:sz w:val="24"/>
          <w:szCs w:val="24"/>
          <w:lang w:eastAsia="en-US"/>
        </w:rPr>
        <w:t xml:space="preserve"> </w:t>
      </w:r>
    </w:p>
    <w:tbl>
      <w:tblPr>
        <w:tblW w:w="7574" w:type="dxa"/>
        <w:tblLook w:val="04A0" w:firstRow="1" w:lastRow="0" w:firstColumn="1" w:lastColumn="0" w:noHBand="0" w:noVBand="1"/>
      </w:tblPr>
      <w:tblGrid>
        <w:gridCol w:w="1975"/>
        <w:gridCol w:w="1080"/>
        <w:gridCol w:w="1440"/>
        <w:gridCol w:w="1620"/>
        <w:gridCol w:w="1459"/>
      </w:tblGrid>
      <w:tr w:rsidR="00792245" w:rsidRPr="002649F6" w:rsidTr="00AD0D89">
        <w:trPr>
          <w:trHeight w:val="590"/>
        </w:trPr>
        <w:tc>
          <w:tcPr>
            <w:tcW w:w="30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 xml:space="preserve">PMN / level                          </w:t>
            </w:r>
          </w:p>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Partial Correlation</w:t>
            </w:r>
          </w:p>
        </w:tc>
        <w:tc>
          <w:tcPr>
            <w:tcW w:w="4519" w:type="dxa"/>
            <w:gridSpan w:val="3"/>
            <w:tcBorders>
              <w:top w:val="single" w:sz="4" w:space="0" w:color="auto"/>
              <w:left w:val="nil"/>
              <w:bottom w:val="single" w:sz="8" w:space="0" w:color="auto"/>
              <w:right w:val="single" w:sz="4" w:space="0" w:color="000000"/>
            </w:tcBorders>
            <w:shd w:val="clear" w:color="auto" w:fill="auto"/>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 xml:space="preserve">Egyptian PMN                                   </w:t>
            </w:r>
          </w:p>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 xml:space="preserve">(-2600 to -1500) </w:t>
            </w:r>
          </w:p>
        </w:tc>
      </w:tr>
      <w:tr w:rsidR="00792245" w:rsidRPr="002649F6" w:rsidTr="00AD0D89">
        <w:trPr>
          <w:trHeight w:val="295"/>
        </w:trPr>
        <w:tc>
          <w:tcPr>
            <w:tcW w:w="3055" w:type="dxa"/>
            <w:gridSpan w:val="2"/>
            <w:vMerge/>
            <w:tcBorders>
              <w:top w:val="single" w:sz="4" w:space="0" w:color="auto"/>
              <w:left w:val="single" w:sz="4" w:space="0" w:color="auto"/>
              <w:bottom w:val="single" w:sz="4" w:space="0" w:color="auto"/>
              <w:right w:val="single" w:sz="4" w:space="0" w:color="auto"/>
            </w:tcBorders>
            <w:vAlign w:val="center"/>
            <w:hideMark/>
          </w:tcPr>
          <w:p w:rsidR="00792245" w:rsidRPr="002649F6" w:rsidRDefault="00792245" w:rsidP="00AD0D89">
            <w:pPr>
              <w:rPr>
                <w:rFonts w:ascii="Garamond" w:eastAsia="Times New Roman" w:hAnsi="Garamond" w:cs="Times New Roman"/>
                <w:b/>
                <w:bCs/>
                <w:color w:val="000000"/>
              </w:rPr>
            </w:pPr>
          </w:p>
        </w:tc>
        <w:tc>
          <w:tcPr>
            <w:tcW w:w="1440" w:type="dxa"/>
            <w:tcBorders>
              <w:top w:val="nil"/>
              <w:left w:val="nil"/>
              <w:bottom w:val="single" w:sz="4" w:space="0" w:color="auto"/>
              <w:right w:val="single" w:sz="4" w:space="0" w:color="auto"/>
            </w:tcBorders>
            <w:shd w:val="clear" w:color="auto" w:fill="auto"/>
            <w:noWrap/>
            <w:vAlign w:val="bottom"/>
            <w:hideMark/>
          </w:tcPr>
          <w:p w:rsidR="00792245" w:rsidRPr="002649F6" w:rsidRDefault="00384018"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620"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state</w:t>
            </w:r>
          </w:p>
        </w:tc>
        <w:tc>
          <w:tcPr>
            <w:tcW w:w="1459"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city</w:t>
            </w:r>
          </w:p>
        </w:tc>
      </w:tr>
      <w:tr w:rsidR="00792245" w:rsidRPr="002649F6" w:rsidTr="00AD0D89">
        <w:trPr>
          <w:trHeight w:val="590"/>
        </w:trPr>
        <w:tc>
          <w:tcPr>
            <w:tcW w:w="1975" w:type="dxa"/>
            <w:vMerge w:val="restart"/>
            <w:tcBorders>
              <w:top w:val="nil"/>
              <w:left w:val="single" w:sz="4" w:space="0" w:color="auto"/>
              <w:bottom w:val="single" w:sz="4" w:space="0" w:color="auto"/>
              <w:right w:val="single" w:sz="4" w:space="0" w:color="auto"/>
            </w:tcBorders>
            <w:shd w:val="clear" w:color="auto" w:fill="auto"/>
            <w:vAlign w:val="center"/>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 xml:space="preserve">Egyptian PMN                                   (-2600 to -1500) </w:t>
            </w:r>
          </w:p>
        </w:tc>
        <w:tc>
          <w:tcPr>
            <w:tcW w:w="1080" w:type="dxa"/>
            <w:tcBorders>
              <w:top w:val="nil"/>
              <w:left w:val="nil"/>
              <w:bottom w:val="single" w:sz="4" w:space="0" w:color="auto"/>
              <w:right w:val="single" w:sz="4" w:space="0" w:color="auto"/>
            </w:tcBorders>
            <w:shd w:val="clear" w:color="auto" w:fill="auto"/>
            <w:noWrap/>
            <w:vAlign w:val="bottom"/>
            <w:hideMark/>
          </w:tcPr>
          <w:p w:rsidR="00792245" w:rsidRPr="002649F6" w:rsidRDefault="00384018"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440" w:type="dxa"/>
            <w:tcBorders>
              <w:top w:val="nil"/>
              <w:left w:val="nil"/>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color w:val="000000"/>
              </w:rPr>
            </w:pPr>
            <w:r w:rsidRPr="002649F6">
              <w:rPr>
                <w:rFonts w:ascii="Garamond" w:eastAsia="Times New Roman" w:hAnsi="Garamond" w:cs="Times New Roman"/>
                <w:color w:val="000000"/>
              </w:rPr>
              <w:t>-</w:t>
            </w:r>
          </w:p>
        </w:tc>
        <w:tc>
          <w:tcPr>
            <w:tcW w:w="1620" w:type="dxa"/>
            <w:tcBorders>
              <w:top w:val="nil"/>
              <w:left w:val="nil"/>
              <w:bottom w:val="single" w:sz="4" w:space="0" w:color="auto"/>
              <w:right w:val="single" w:sz="4" w:space="0" w:color="auto"/>
            </w:tcBorders>
            <w:shd w:val="clear" w:color="auto" w:fill="auto"/>
            <w:vAlign w:val="bottom"/>
            <w:hideMark/>
          </w:tcPr>
          <w:p w:rsidR="001B25B2" w:rsidRPr="001B25B2" w:rsidRDefault="0017797D" w:rsidP="001B25B2">
            <w:pPr>
              <w:jc w:val="center"/>
              <w:rPr>
                <w:rFonts w:ascii="Garamond" w:eastAsia="Times New Roman" w:hAnsi="Garamond" w:cs="Times New Roman"/>
                <w:color w:val="000000"/>
              </w:rPr>
            </w:pPr>
            <w:r>
              <w:rPr>
                <w:rFonts w:ascii="Garamond" w:eastAsia="Times New Roman" w:hAnsi="Garamond" w:cs="Times New Roman"/>
                <w:color w:val="000000"/>
              </w:rPr>
              <w:t>.40</w:t>
            </w:r>
          </w:p>
          <w:p w:rsidR="00792245" w:rsidRPr="002649F6"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(.224)</w:t>
            </w:r>
          </w:p>
        </w:tc>
        <w:tc>
          <w:tcPr>
            <w:tcW w:w="1459" w:type="dxa"/>
            <w:tcBorders>
              <w:top w:val="nil"/>
              <w:left w:val="nil"/>
              <w:bottom w:val="single" w:sz="4" w:space="0" w:color="auto"/>
              <w:right w:val="single" w:sz="4" w:space="0" w:color="auto"/>
            </w:tcBorders>
            <w:shd w:val="clear" w:color="auto" w:fill="auto"/>
            <w:vAlign w:val="bottom"/>
            <w:hideMark/>
          </w:tcPr>
          <w:p w:rsidR="001B25B2" w:rsidRPr="001B25B2"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w:t>
            </w:r>
            <w:r w:rsidR="004E4C8B">
              <w:rPr>
                <w:rFonts w:ascii="Garamond" w:eastAsia="Times New Roman" w:hAnsi="Garamond" w:cs="Times New Roman"/>
                <w:color w:val="000000"/>
              </w:rPr>
              <w:t>.</w:t>
            </w:r>
            <w:r w:rsidR="0017797D">
              <w:rPr>
                <w:rFonts w:ascii="Garamond" w:eastAsia="Times New Roman" w:hAnsi="Garamond" w:cs="Times New Roman"/>
                <w:color w:val="000000"/>
              </w:rPr>
              <w:t>46</w:t>
            </w:r>
          </w:p>
          <w:p w:rsidR="00792245" w:rsidRPr="002649F6"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(.158)</w:t>
            </w:r>
          </w:p>
        </w:tc>
      </w:tr>
      <w:tr w:rsidR="00792245" w:rsidRPr="002649F6" w:rsidTr="00AD0D89">
        <w:trPr>
          <w:trHeight w:val="590"/>
        </w:trPr>
        <w:tc>
          <w:tcPr>
            <w:tcW w:w="1975" w:type="dxa"/>
            <w:vMerge/>
            <w:tcBorders>
              <w:top w:val="nil"/>
              <w:left w:val="single" w:sz="4" w:space="0" w:color="auto"/>
              <w:bottom w:val="single" w:sz="4" w:space="0" w:color="auto"/>
              <w:right w:val="single" w:sz="4" w:space="0" w:color="auto"/>
            </w:tcBorders>
            <w:vAlign w:val="center"/>
            <w:hideMark/>
          </w:tcPr>
          <w:p w:rsidR="00792245" w:rsidRPr="002649F6" w:rsidRDefault="00792245" w:rsidP="00AD0D89">
            <w:pPr>
              <w:rPr>
                <w:rFonts w:ascii="Garamond" w:eastAsia="Times New Roman" w:hAnsi="Garamond"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state</w:t>
            </w:r>
          </w:p>
        </w:tc>
        <w:tc>
          <w:tcPr>
            <w:tcW w:w="1440" w:type="dxa"/>
            <w:tcBorders>
              <w:top w:val="nil"/>
              <w:left w:val="nil"/>
              <w:bottom w:val="single" w:sz="4" w:space="0" w:color="auto"/>
              <w:right w:val="single" w:sz="4" w:space="0" w:color="auto"/>
            </w:tcBorders>
            <w:shd w:val="clear" w:color="auto" w:fill="auto"/>
            <w:vAlign w:val="bottom"/>
            <w:hideMark/>
          </w:tcPr>
          <w:p w:rsidR="001B25B2" w:rsidRPr="001B25B2" w:rsidRDefault="0017797D" w:rsidP="001B25B2">
            <w:pPr>
              <w:jc w:val="center"/>
              <w:rPr>
                <w:rFonts w:ascii="Garamond" w:eastAsia="Times New Roman" w:hAnsi="Garamond" w:cs="Times New Roman"/>
                <w:color w:val="000000"/>
              </w:rPr>
            </w:pPr>
            <w:r>
              <w:rPr>
                <w:rFonts w:ascii="Garamond" w:eastAsia="Times New Roman" w:hAnsi="Garamond" w:cs="Times New Roman"/>
                <w:color w:val="000000"/>
              </w:rPr>
              <w:t>.40</w:t>
            </w:r>
          </w:p>
          <w:p w:rsidR="00792245" w:rsidRPr="002649F6"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(.224)</w:t>
            </w:r>
          </w:p>
        </w:tc>
        <w:tc>
          <w:tcPr>
            <w:tcW w:w="1620" w:type="dxa"/>
            <w:tcBorders>
              <w:top w:val="nil"/>
              <w:left w:val="nil"/>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color w:val="000000"/>
              </w:rPr>
            </w:pPr>
            <w:r w:rsidRPr="002649F6">
              <w:rPr>
                <w:rFonts w:ascii="Garamond" w:eastAsia="Times New Roman" w:hAnsi="Garamond" w:cs="Times New Roman"/>
                <w:color w:val="000000"/>
              </w:rPr>
              <w:t>-</w:t>
            </w:r>
          </w:p>
        </w:tc>
        <w:tc>
          <w:tcPr>
            <w:tcW w:w="1459" w:type="dxa"/>
            <w:tcBorders>
              <w:top w:val="nil"/>
              <w:left w:val="nil"/>
              <w:bottom w:val="single" w:sz="4" w:space="0" w:color="auto"/>
              <w:right w:val="single" w:sz="4" w:space="0" w:color="auto"/>
            </w:tcBorders>
            <w:shd w:val="clear" w:color="auto" w:fill="auto"/>
            <w:vAlign w:val="bottom"/>
            <w:hideMark/>
          </w:tcPr>
          <w:p w:rsidR="001B25B2" w:rsidRPr="001B25B2" w:rsidRDefault="0017797D" w:rsidP="001B25B2">
            <w:pPr>
              <w:jc w:val="center"/>
              <w:rPr>
                <w:rFonts w:ascii="Garamond" w:eastAsia="Times New Roman" w:hAnsi="Garamond" w:cs="Times New Roman"/>
                <w:color w:val="000000"/>
              </w:rPr>
            </w:pPr>
            <w:r>
              <w:rPr>
                <w:rFonts w:ascii="Garamond" w:eastAsia="Times New Roman" w:hAnsi="Garamond" w:cs="Times New Roman"/>
                <w:color w:val="000000"/>
              </w:rPr>
              <w:t>.34</w:t>
            </w:r>
          </w:p>
          <w:p w:rsidR="00792245" w:rsidRPr="002649F6"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(.312)</w:t>
            </w:r>
          </w:p>
        </w:tc>
      </w:tr>
      <w:tr w:rsidR="00792245" w:rsidRPr="002649F6" w:rsidTr="00AD0D89">
        <w:trPr>
          <w:trHeight w:val="590"/>
        </w:trPr>
        <w:tc>
          <w:tcPr>
            <w:tcW w:w="1975" w:type="dxa"/>
            <w:vMerge/>
            <w:tcBorders>
              <w:top w:val="nil"/>
              <w:left w:val="single" w:sz="4" w:space="0" w:color="auto"/>
              <w:bottom w:val="single" w:sz="4" w:space="0" w:color="auto"/>
              <w:right w:val="single" w:sz="4" w:space="0" w:color="auto"/>
            </w:tcBorders>
            <w:vAlign w:val="center"/>
            <w:hideMark/>
          </w:tcPr>
          <w:p w:rsidR="00792245" w:rsidRPr="002649F6" w:rsidRDefault="00792245" w:rsidP="00AD0D89">
            <w:pPr>
              <w:rPr>
                <w:rFonts w:ascii="Garamond" w:eastAsia="Times New Roman" w:hAnsi="Garamond"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792245" w:rsidRPr="002649F6" w:rsidRDefault="00792245" w:rsidP="00AD0D89">
            <w:pPr>
              <w:jc w:val="center"/>
              <w:rPr>
                <w:rFonts w:ascii="Garamond" w:eastAsia="Times New Roman" w:hAnsi="Garamond" w:cs="Times New Roman"/>
                <w:b/>
                <w:bCs/>
                <w:color w:val="000000"/>
              </w:rPr>
            </w:pPr>
            <w:r w:rsidRPr="002649F6">
              <w:rPr>
                <w:rFonts w:ascii="Garamond" w:eastAsia="Times New Roman" w:hAnsi="Garamond" w:cs="Times New Roman"/>
                <w:b/>
                <w:bCs/>
                <w:color w:val="000000"/>
              </w:rPr>
              <w:t>city</w:t>
            </w:r>
          </w:p>
        </w:tc>
        <w:tc>
          <w:tcPr>
            <w:tcW w:w="1440" w:type="dxa"/>
            <w:tcBorders>
              <w:top w:val="nil"/>
              <w:left w:val="nil"/>
              <w:bottom w:val="single" w:sz="4" w:space="0" w:color="auto"/>
              <w:right w:val="single" w:sz="4" w:space="0" w:color="auto"/>
            </w:tcBorders>
            <w:shd w:val="clear" w:color="auto" w:fill="auto"/>
            <w:vAlign w:val="bottom"/>
            <w:hideMark/>
          </w:tcPr>
          <w:p w:rsidR="001B25B2" w:rsidRPr="001B25B2"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w:t>
            </w:r>
            <w:r w:rsidR="004E4C8B">
              <w:rPr>
                <w:rFonts w:ascii="Garamond" w:eastAsia="Times New Roman" w:hAnsi="Garamond" w:cs="Times New Roman"/>
                <w:color w:val="000000"/>
              </w:rPr>
              <w:t>.</w:t>
            </w:r>
            <w:r w:rsidR="0017797D">
              <w:rPr>
                <w:rFonts w:ascii="Garamond" w:eastAsia="Times New Roman" w:hAnsi="Garamond" w:cs="Times New Roman"/>
                <w:color w:val="000000"/>
              </w:rPr>
              <w:t>46</w:t>
            </w:r>
          </w:p>
          <w:p w:rsidR="00792245" w:rsidRPr="002649F6"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(.158)</w:t>
            </w:r>
          </w:p>
        </w:tc>
        <w:tc>
          <w:tcPr>
            <w:tcW w:w="1620" w:type="dxa"/>
            <w:tcBorders>
              <w:top w:val="nil"/>
              <w:left w:val="nil"/>
              <w:bottom w:val="single" w:sz="4" w:space="0" w:color="auto"/>
              <w:right w:val="single" w:sz="4" w:space="0" w:color="auto"/>
            </w:tcBorders>
            <w:shd w:val="clear" w:color="auto" w:fill="auto"/>
            <w:vAlign w:val="bottom"/>
            <w:hideMark/>
          </w:tcPr>
          <w:p w:rsidR="001B25B2" w:rsidRPr="001B25B2" w:rsidRDefault="0017797D" w:rsidP="001B25B2">
            <w:pPr>
              <w:jc w:val="center"/>
              <w:rPr>
                <w:rFonts w:ascii="Garamond" w:eastAsia="Times New Roman" w:hAnsi="Garamond" w:cs="Times New Roman"/>
                <w:color w:val="000000"/>
              </w:rPr>
            </w:pPr>
            <w:r>
              <w:rPr>
                <w:rFonts w:ascii="Garamond" w:eastAsia="Times New Roman" w:hAnsi="Garamond" w:cs="Times New Roman"/>
                <w:color w:val="000000"/>
              </w:rPr>
              <w:t>.34</w:t>
            </w:r>
          </w:p>
          <w:p w:rsidR="00792245" w:rsidRPr="002649F6"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(.312)</w:t>
            </w:r>
          </w:p>
        </w:tc>
        <w:tc>
          <w:tcPr>
            <w:tcW w:w="1459" w:type="dxa"/>
            <w:tcBorders>
              <w:top w:val="nil"/>
              <w:left w:val="nil"/>
              <w:bottom w:val="single" w:sz="4" w:space="0" w:color="auto"/>
              <w:right w:val="single" w:sz="4" w:space="0" w:color="auto"/>
            </w:tcBorders>
            <w:shd w:val="clear" w:color="auto" w:fill="auto"/>
            <w:vAlign w:val="bottom"/>
            <w:hideMark/>
          </w:tcPr>
          <w:p w:rsidR="00792245" w:rsidRPr="002649F6" w:rsidRDefault="00792245" w:rsidP="00AD0D89">
            <w:pPr>
              <w:jc w:val="center"/>
              <w:rPr>
                <w:rFonts w:ascii="Garamond" w:eastAsia="Times New Roman" w:hAnsi="Garamond" w:cs="Times New Roman"/>
                <w:color w:val="000000"/>
              </w:rPr>
            </w:pPr>
            <w:r w:rsidRPr="002649F6">
              <w:rPr>
                <w:rFonts w:ascii="Garamond" w:eastAsia="Times New Roman" w:hAnsi="Garamond" w:cs="Times New Roman"/>
                <w:color w:val="000000"/>
              </w:rPr>
              <w:t>-</w:t>
            </w:r>
          </w:p>
        </w:tc>
      </w:tr>
    </w:tbl>
    <w:p w:rsidR="00DE22CE" w:rsidRDefault="0017797D" w:rsidP="0017797D">
      <w:pPr>
        <w:pStyle w:val="Caption"/>
        <w:rPr>
          <w:rFonts w:ascii="Garamond" w:hAnsi="Garamond"/>
          <w:sz w:val="24"/>
          <w:szCs w:val="24"/>
        </w:rPr>
      </w:pPr>
      <w:r>
        <w:t xml:space="preserve">Table 12: </w:t>
      </w:r>
      <w:r w:rsidRPr="002649F6">
        <w:t>Egyptian PMN</w:t>
      </w:r>
      <w:r>
        <w:t xml:space="preserve"> 2600 BCE to 1500 BCE</w:t>
      </w:r>
    </w:p>
    <w:p w:rsidR="007877F7" w:rsidRDefault="0017797D" w:rsidP="0017797D">
      <w:pPr>
        <w:rPr>
          <w:rFonts w:ascii="Garamond" w:hAnsi="Garamond"/>
          <w:sz w:val="24"/>
          <w:szCs w:val="24"/>
          <w:lang w:eastAsia="en-US"/>
        </w:rPr>
      </w:pPr>
      <w:r w:rsidRPr="0017797D">
        <w:rPr>
          <w:rFonts w:ascii="Garamond" w:hAnsi="Garamond"/>
          <w:sz w:val="24"/>
          <w:szCs w:val="24"/>
          <w:lang w:eastAsia="en-US"/>
        </w:rPr>
        <w:t xml:space="preserve">Table 12 shows that the Egyptian partial correlation between city and power </w:t>
      </w:r>
      <w:r w:rsidR="006501BB">
        <w:rPr>
          <w:rFonts w:ascii="Garamond" w:hAnsi="Garamond"/>
          <w:sz w:val="24"/>
          <w:szCs w:val="24"/>
          <w:lang w:eastAsia="en-US"/>
        </w:rPr>
        <w:t>configuration</w:t>
      </w:r>
      <w:r>
        <w:rPr>
          <w:rFonts w:ascii="Garamond" w:hAnsi="Garamond"/>
          <w:sz w:val="24"/>
          <w:szCs w:val="24"/>
          <w:lang w:eastAsia="en-US"/>
        </w:rPr>
        <w:t xml:space="preserve"> is negative -.46</w:t>
      </w:r>
      <w:r w:rsidRPr="0017797D">
        <w:rPr>
          <w:rFonts w:ascii="Garamond" w:hAnsi="Garamond"/>
          <w:sz w:val="24"/>
          <w:szCs w:val="24"/>
          <w:lang w:eastAsia="en-US"/>
        </w:rPr>
        <w:t xml:space="preserve">, </w:t>
      </w:r>
      <w:r w:rsidR="007877F7">
        <w:rPr>
          <w:rFonts w:ascii="Garamond" w:hAnsi="Garamond"/>
          <w:sz w:val="24"/>
          <w:szCs w:val="24"/>
          <w:lang w:eastAsia="en-US"/>
        </w:rPr>
        <w:t xml:space="preserve">but it is somewhat less negative than the bivariate correlation shown in Table 1 (-.67).  This is because the bivariate correlation between year and city is positive (.60) so controlling year lowers the negative partial </w:t>
      </w:r>
      <w:r w:rsidR="007877F7">
        <w:rPr>
          <w:rFonts w:ascii="Garamond" w:hAnsi="Garamond"/>
          <w:sz w:val="24"/>
          <w:szCs w:val="24"/>
          <w:lang w:eastAsia="en-US"/>
        </w:rPr>
        <w:lastRenderedPageBreak/>
        <w:t xml:space="preserve">correlation.  Also </w:t>
      </w:r>
      <w:r w:rsidRPr="0017797D">
        <w:rPr>
          <w:rFonts w:ascii="Garamond" w:hAnsi="Garamond"/>
          <w:sz w:val="24"/>
          <w:szCs w:val="24"/>
          <w:lang w:eastAsia="en-US"/>
        </w:rPr>
        <w:t xml:space="preserve">recall that </w:t>
      </w:r>
      <w:r w:rsidR="007877F7">
        <w:rPr>
          <w:rFonts w:ascii="Garamond" w:hAnsi="Garamond"/>
          <w:sz w:val="24"/>
          <w:szCs w:val="24"/>
          <w:lang w:eastAsia="en-US"/>
        </w:rPr>
        <w:t xml:space="preserve">the partial correlation between </w:t>
      </w:r>
      <w:proofErr w:type="spellStart"/>
      <w:r w:rsidR="007877F7">
        <w:rPr>
          <w:rFonts w:ascii="Garamond" w:hAnsi="Garamond"/>
          <w:sz w:val="24"/>
          <w:szCs w:val="24"/>
          <w:lang w:eastAsia="en-US"/>
        </w:rPr>
        <w:t>powcon</w:t>
      </w:r>
      <w:proofErr w:type="spellEnd"/>
      <w:r w:rsidR="007877F7">
        <w:rPr>
          <w:rFonts w:ascii="Garamond" w:hAnsi="Garamond"/>
          <w:sz w:val="24"/>
          <w:szCs w:val="24"/>
          <w:lang w:eastAsia="en-US"/>
        </w:rPr>
        <w:t xml:space="preserve"> and city</w:t>
      </w:r>
      <w:r w:rsidRPr="0017797D">
        <w:rPr>
          <w:rFonts w:ascii="Garamond" w:hAnsi="Garamond"/>
          <w:sz w:val="24"/>
          <w:szCs w:val="24"/>
          <w:lang w:eastAsia="en-US"/>
        </w:rPr>
        <w:t xml:space="preserve"> was</w:t>
      </w:r>
      <w:r>
        <w:rPr>
          <w:rFonts w:ascii="Garamond" w:hAnsi="Garamond"/>
          <w:sz w:val="24"/>
          <w:szCs w:val="24"/>
          <w:lang w:eastAsia="en-US"/>
        </w:rPr>
        <w:t xml:space="preserve"> positive .45</w:t>
      </w:r>
      <w:r w:rsidRPr="0017797D">
        <w:rPr>
          <w:rFonts w:ascii="Garamond" w:hAnsi="Garamond"/>
          <w:sz w:val="24"/>
          <w:szCs w:val="24"/>
          <w:lang w:eastAsia="en-US"/>
        </w:rPr>
        <w:t xml:space="preserve"> for the Mesopotamian PMN. The partial correlation between sta</w:t>
      </w:r>
      <w:r>
        <w:rPr>
          <w:rFonts w:ascii="Garamond" w:hAnsi="Garamond"/>
          <w:sz w:val="24"/>
          <w:szCs w:val="24"/>
          <w:lang w:eastAsia="en-US"/>
        </w:rPr>
        <w:t xml:space="preserve">te and power </w:t>
      </w:r>
      <w:r w:rsidR="006501BB">
        <w:rPr>
          <w:rFonts w:ascii="Garamond" w:hAnsi="Garamond"/>
          <w:sz w:val="24"/>
          <w:szCs w:val="24"/>
          <w:lang w:eastAsia="en-US"/>
        </w:rPr>
        <w:t>configuration</w:t>
      </w:r>
      <w:r>
        <w:rPr>
          <w:rFonts w:ascii="Garamond" w:hAnsi="Garamond"/>
          <w:sz w:val="24"/>
          <w:szCs w:val="24"/>
          <w:lang w:eastAsia="en-US"/>
        </w:rPr>
        <w:t xml:space="preserve"> is.40</w:t>
      </w:r>
      <w:r w:rsidRPr="0017797D">
        <w:rPr>
          <w:rFonts w:ascii="Garamond" w:hAnsi="Garamond"/>
          <w:sz w:val="24"/>
          <w:szCs w:val="24"/>
          <w:lang w:eastAsia="en-US"/>
        </w:rPr>
        <w:t xml:space="preserve"> wh</w:t>
      </w:r>
      <w:r>
        <w:rPr>
          <w:rFonts w:ascii="Garamond" w:hAnsi="Garamond"/>
          <w:sz w:val="24"/>
          <w:szCs w:val="24"/>
          <w:lang w:eastAsia="en-US"/>
        </w:rPr>
        <w:t>ereas</w:t>
      </w:r>
      <w:r w:rsidR="007877F7">
        <w:rPr>
          <w:rFonts w:ascii="Garamond" w:hAnsi="Garamond"/>
          <w:sz w:val="24"/>
          <w:szCs w:val="24"/>
          <w:lang w:eastAsia="en-US"/>
        </w:rPr>
        <w:t xml:space="preserve"> the bivariate correlation in Table 1 was -.02.  Again this is because the bivariate correlation between state size and year is .45 so controlling the long-term trend allows the positive short term relationship to be visible. </w:t>
      </w:r>
    </w:p>
    <w:p w:rsidR="0017797D" w:rsidRDefault="0017797D" w:rsidP="0017797D">
      <w:pPr>
        <w:rPr>
          <w:rFonts w:ascii="Garamond" w:hAnsi="Garamond"/>
          <w:sz w:val="24"/>
          <w:szCs w:val="24"/>
          <w:lang w:eastAsia="en-US"/>
        </w:rPr>
      </w:pPr>
      <w:r>
        <w:rPr>
          <w:rFonts w:ascii="Garamond" w:hAnsi="Garamond"/>
          <w:sz w:val="24"/>
          <w:szCs w:val="24"/>
          <w:lang w:eastAsia="en-US"/>
        </w:rPr>
        <w:t xml:space="preserve"> </w:t>
      </w:r>
      <w:r w:rsidR="007877F7">
        <w:rPr>
          <w:rFonts w:ascii="Garamond" w:hAnsi="Garamond"/>
          <w:sz w:val="24"/>
          <w:szCs w:val="24"/>
          <w:lang w:eastAsia="en-US"/>
        </w:rPr>
        <w:t xml:space="preserve">The partial correlation between </w:t>
      </w:r>
      <w:proofErr w:type="spellStart"/>
      <w:r w:rsidR="007877F7">
        <w:rPr>
          <w:rFonts w:ascii="Garamond" w:hAnsi="Garamond"/>
          <w:sz w:val="24"/>
          <w:szCs w:val="24"/>
          <w:lang w:eastAsia="en-US"/>
        </w:rPr>
        <w:t>powcon</w:t>
      </w:r>
      <w:proofErr w:type="spellEnd"/>
      <w:r w:rsidR="007877F7">
        <w:rPr>
          <w:rFonts w:ascii="Garamond" w:hAnsi="Garamond"/>
          <w:sz w:val="24"/>
          <w:szCs w:val="24"/>
          <w:lang w:eastAsia="en-US"/>
        </w:rPr>
        <w:t xml:space="preserve"> and state size for Mesopotamia</w:t>
      </w:r>
      <w:r>
        <w:rPr>
          <w:rFonts w:ascii="Garamond" w:hAnsi="Garamond"/>
          <w:sz w:val="24"/>
          <w:szCs w:val="24"/>
          <w:lang w:eastAsia="en-US"/>
        </w:rPr>
        <w:t xml:space="preserve"> was .16</w:t>
      </w:r>
      <w:r w:rsidRPr="0017797D">
        <w:rPr>
          <w:rFonts w:ascii="Garamond" w:hAnsi="Garamond"/>
          <w:sz w:val="24"/>
          <w:szCs w:val="24"/>
          <w:lang w:eastAsia="en-US"/>
        </w:rPr>
        <w:t>.</w:t>
      </w:r>
      <w:r>
        <w:rPr>
          <w:rFonts w:ascii="Garamond" w:hAnsi="Garamond"/>
          <w:sz w:val="24"/>
          <w:szCs w:val="24"/>
          <w:lang w:eastAsia="en-US"/>
        </w:rPr>
        <w:t xml:space="preserve"> </w:t>
      </w:r>
    </w:p>
    <w:tbl>
      <w:tblPr>
        <w:tblW w:w="7593" w:type="dxa"/>
        <w:tblLook w:val="04A0" w:firstRow="1" w:lastRow="0" w:firstColumn="1" w:lastColumn="0" w:noHBand="0" w:noVBand="1"/>
      </w:tblPr>
      <w:tblGrid>
        <w:gridCol w:w="1975"/>
        <w:gridCol w:w="1170"/>
        <w:gridCol w:w="1350"/>
        <w:gridCol w:w="1620"/>
        <w:gridCol w:w="1478"/>
      </w:tblGrid>
      <w:tr w:rsidR="001B25B2" w:rsidRPr="00AD4FCE" w:rsidTr="00AD0D89">
        <w:trPr>
          <w:trHeight w:val="603"/>
        </w:trPr>
        <w:tc>
          <w:tcPr>
            <w:tcW w:w="31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B25B2" w:rsidRPr="00AD4FCE" w:rsidRDefault="001B25B2"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 xml:space="preserve">PMN / level                          </w:t>
            </w:r>
          </w:p>
          <w:p w:rsidR="001B25B2" w:rsidRPr="00AD4FCE" w:rsidRDefault="001B25B2"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Partial Correlation</w:t>
            </w:r>
          </w:p>
        </w:tc>
        <w:tc>
          <w:tcPr>
            <w:tcW w:w="4448" w:type="dxa"/>
            <w:gridSpan w:val="3"/>
            <w:tcBorders>
              <w:top w:val="single" w:sz="4" w:space="0" w:color="auto"/>
              <w:left w:val="nil"/>
              <w:bottom w:val="single" w:sz="4" w:space="0" w:color="auto"/>
              <w:right w:val="single" w:sz="4" w:space="0" w:color="000000"/>
            </w:tcBorders>
            <w:shd w:val="clear" w:color="auto" w:fill="auto"/>
            <w:vAlign w:val="bottom"/>
            <w:hideMark/>
          </w:tcPr>
          <w:p w:rsidR="001B25B2" w:rsidRPr="00AD4FCE" w:rsidRDefault="001B25B2" w:rsidP="00AD0D89">
            <w:pPr>
              <w:jc w:val="center"/>
              <w:rPr>
                <w:rFonts w:ascii="Garamond" w:eastAsia="Times New Roman" w:hAnsi="Garamond" w:cs="Times New Roman"/>
                <w:b/>
                <w:bCs/>
                <w:color w:val="000000"/>
              </w:rPr>
            </w:pPr>
            <w:r>
              <w:rPr>
                <w:rFonts w:ascii="Garamond" w:eastAsia="Times New Roman" w:hAnsi="Garamond" w:cs="Times New Roman"/>
                <w:b/>
                <w:bCs/>
                <w:color w:val="000000"/>
              </w:rPr>
              <w:t>South Asia</w:t>
            </w:r>
            <w:r w:rsidRPr="00AD4FCE">
              <w:rPr>
                <w:rFonts w:ascii="Garamond" w:eastAsia="Times New Roman" w:hAnsi="Garamond" w:cs="Times New Roman"/>
                <w:b/>
                <w:bCs/>
                <w:color w:val="000000"/>
              </w:rPr>
              <w:t xml:space="preserve"> PMN                                            </w:t>
            </w:r>
          </w:p>
          <w:p w:rsidR="001B25B2" w:rsidRPr="00AD4FCE" w:rsidRDefault="001B25B2"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 xml:space="preserve"> (-400 to 1000)</w:t>
            </w:r>
          </w:p>
        </w:tc>
      </w:tr>
      <w:tr w:rsidR="001B25B2" w:rsidRPr="00AD4FCE" w:rsidTr="00AD0D89">
        <w:trPr>
          <w:trHeight w:val="301"/>
        </w:trPr>
        <w:tc>
          <w:tcPr>
            <w:tcW w:w="3145" w:type="dxa"/>
            <w:gridSpan w:val="2"/>
            <w:vMerge/>
            <w:tcBorders>
              <w:top w:val="single" w:sz="4" w:space="0" w:color="auto"/>
              <w:left w:val="single" w:sz="4" w:space="0" w:color="auto"/>
              <w:bottom w:val="single" w:sz="4" w:space="0" w:color="auto"/>
              <w:right w:val="single" w:sz="4" w:space="0" w:color="auto"/>
            </w:tcBorders>
            <w:vAlign w:val="center"/>
            <w:hideMark/>
          </w:tcPr>
          <w:p w:rsidR="001B25B2" w:rsidRPr="00AD4FCE" w:rsidRDefault="001B25B2" w:rsidP="00AD0D89">
            <w:pPr>
              <w:rPr>
                <w:rFonts w:ascii="Garamond" w:eastAsia="Times New Roman" w:hAnsi="Garamond" w:cs="Times New Roman"/>
                <w:b/>
                <w:bCs/>
                <w:color w:val="000000"/>
              </w:rPr>
            </w:pP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B25B2" w:rsidRPr="00AD4FCE" w:rsidRDefault="0038580D"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B25B2" w:rsidRPr="00AD4FCE" w:rsidRDefault="001B25B2"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state</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1B25B2" w:rsidRPr="00AD4FCE" w:rsidRDefault="001B25B2"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city</w:t>
            </w:r>
          </w:p>
        </w:tc>
      </w:tr>
      <w:tr w:rsidR="001B25B2" w:rsidRPr="00AD4FCE" w:rsidTr="00AD0D89">
        <w:trPr>
          <w:trHeight w:val="603"/>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25B2" w:rsidRPr="00AD4FCE" w:rsidRDefault="001B25B2" w:rsidP="00AD0D89">
            <w:pPr>
              <w:jc w:val="center"/>
              <w:rPr>
                <w:rFonts w:ascii="Garamond" w:eastAsia="Times New Roman" w:hAnsi="Garamond" w:cs="Times New Roman"/>
                <w:b/>
                <w:bCs/>
                <w:color w:val="000000"/>
              </w:rPr>
            </w:pPr>
            <w:r>
              <w:rPr>
                <w:rFonts w:ascii="Garamond" w:eastAsia="Times New Roman" w:hAnsi="Garamond" w:cs="Times New Roman"/>
                <w:b/>
                <w:bCs/>
                <w:color w:val="000000"/>
              </w:rPr>
              <w:t>South Asia</w:t>
            </w:r>
            <w:r w:rsidRPr="00AD4FCE">
              <w:rPr>
                <w:rFonts w:ascii="Garamond" w:eastAsia="Times New Roman" w:hAnsi="Garamond" w:cs="Times New Roman"/>
                <w:b/>
                <w:bCs/>
                <w:color w:val="000000"/>
              </w:rPr>
              <w:t xml:space="preserve"> PMN                                             (-400 to 1000)</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1B25B2" w:rsidRPr="00AD4FCE" w:rsidRDefault="0038580D"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1B25B2" w:rsidRPr="00AD4FCE" w:rsidRDefault="001B25B2" w:rsidP="00AD0D89">
            <w:pPr>
              <w:jc w:val="center"/>
              <w:rPr>
                <w:rFonts w:ascii="Garamond" w:eastAsia="Times New Roman" w:hAnsi="Garamond" w:cs="Times New Roman"/>
                <w:color w:val="000000"/>
              </w:rPr>
            </w:pPr>
            <w:r w:rsidRPr="00AD4FCE">
              <w:rPr>
                <w:rFonts w:ascii="Garamond" w:eastAsia="Times New Roman" w:hAnsi="Garamond" w:cs="Times New Roman"/>
                <w:color w:val="000000"/>
              </w:rPr>
              <w:t>-</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1B25B2" w:rsidRPr="001B25B2" w:rsidRDefault="0038580D" w:rsidP="001B25B2">
            <w:pPr>
              <w:jc w:val="center"/>
              <w:rPr>
                <w:rFonts w:ascii="Garamond" w:eastAsia="Times New Roman" w:hAnsi="Garamond" w:cs="Times New Roman"/>
                <w:color w:val="000000"/>
              </w:rPr>
            </w:pPr>
            <w:r>
              <w:rPr>
                <w:rFonts w:ascii="Garamond" w:eastAsia="Times New Roman" w:hAnsi="Garamond" w:cs="Times New Roman"/>
                <w:color w:val="000000"/>
              </w:rPr>
              <w:t>.19</w:t>
            </w:r>
          </w:p>
          <w:p w:rsidR="001B25B2" w:rsidRPr="00AD4FCE"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(.333)</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rsidR="001B25B2" w:rsidRPr="001B25B2" w:rsidRDefault="0038580D" w:rsidP="001B25B2">
            <w:pPr>
              <w:jc w:val="center"/>
              <w:rPr>
                <w:rFonts w:ascii="Garamond" w:eastAsia="Times New Roman" w:hAnsi="Garamond" w:cs="Times New Roman"/>
                <w:color w:val="000000"/>
              </w:rPr>
            </w:pPr>
            <w:r>
              <w:rPr>
                <w:rFonts w:ascii="Garamond" w:eastAsia="Times New Roman" w:hAnsi="Garamond" w:cs="Times New Roman"/>
                <w:color w:val="000000"/>
              </w:rPr>
              <w:t>.00</w:t>
            </w:r>
          </w:p>
          <w:p w:rsidR="001B25B2" w:rsidRPr="00AD4FCE"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(.998)</w:t>
            </w:r>
          </w:p>
        </w:tc>
      </w:tr>
      <w:tr w:rsidR="001B25B2" w:rsidRPr="00AD4FCE" w:rsidTr="00AD0D89">
        <w:trPr>
          <w:trHeight w:val="603"/>
        </w:trPr>
        <w:tc>
          <w:tcPr>
            <w:tcW w:w="1975" w:type="dxa"/>
            <w:vMerge/>
            <w:tcBorders>
              <w:top w:val="single" w:sz="4" w:space="0" w:color="auto"/>
              <w:left w:val="single" w:sz="4" w:space="0" w:color="auto"/>
              <w:bottom w:val="single" w:sz="4" w:space="0" w:color="auto"/>
              <w:right w:val="single" w:sz="4" w:space="0" w:color="auto"/>
            </w:tcBorders>
            <w:vAlign w:val="center"/>
            <w:hideMark/>
          </w:tcPr>
          <w:p w:rsidR="001B25B2" w:rsidRPr="00AD4FCE" w:rsidRDefault="001B25B2" w:rsidP="00AD0D89">
            <w:pPr>
              <w:rPr>
                <w:rFonts w:ascii="Garamond" w:eastAsia="Times New Roman" w:hAnsi="Garamond"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1B25B2" w:rsidRPr="00AD4FCE" w:rsidRDefault="001B25B2"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state</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1B25B2" w:rsidRPr="001B25B2" w:rsidRDefault="0038580D" w:rsidP="001B25B2">
            <w:pPr>
              <w:jc w:val="center"/>
              <w:rPr>
                <w:rFonts w:ascii="Garamond" w:eastAsia="Times New Roman" w:hAnsi="Garamond" w:cs="Times New Roman"/>
                <w:color w:val="000000"/>
              </w:rPr>
            </w:pPr>
            <w:r>
              <w:rPr>
                <w:rFonts w:ascii="Garamond" w:eastAsia="Times New Roman" w:hAnsi="Garamond" w:cs="Times New Roman"/>
                <w:color w:val="000000"/>
              </w:rPr>
              <w:t>.19</w:t>
            </w:r>
          </w:p>
          <w:p w:rsidR="001B25B2" w:rsidRPr="00AD4FCE"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(.333)</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1B25B2" w:rsidRPr="00AD4FCE" w:rsidRDefault="001B25B2" w:rsidP="00AD0D89">
            <w:pPr>
              <w:jc w:val="center"/>
              <w:rPr>
                <w:rFonts w:ascii="Garamond" w:eastAsia="Times New Roman" w:hAnsi="Garamond" w:cs="Times New Roman"/>
                <w:color w:val="000000"/>
              </w:rPr>
            </w:pPr>
            <w:r w:rsidRPr="00AD4FCE">
              <w:rPr>
                <w:rFonts w:ascii="Garamond" w:eastAsia="Times New Roman" w:hAnsi="Garamond" w:cs="Times New Roman"/>
                <w:color w:val="000000"/>
              </w:rPr>
              <w:t>-</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rsidR="001B25B2" w:rsidRPr="001B25B2" w:rsidRDefault="0038580D" w:rsidP="001B25B2">
            <w:pPr>
              <w:jc w:val="center"/>
              <w:rPr>
                <w:rFonts w:ascii="Garamond" w:eastAsia="Times New Roman" w:hAnsi="Garamond" w:cs="Times New Roman"/>
                <w:color w:val="000000"/>
              </w:rPr>
            </w:pPr>
            <w:r>
              <w:rPr>
                <w:rFonts w:ascii="Garamond" w:eastAsia="Times New Roman" w:hAnsi="Garamond" w:cs="Times New Roman"/>
                <w:color w:val="000000"/>
              </w:rPr>
              <w:t>.10</w:t>
            </w:r>
          </w:p>
          <w:p w:rsidR="001B25B2" w:rsidRPr="00AD4FCE"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(.620)</w:t>
            </w:r>
          </w:p>
        </w:tc>
      </w:tr>
      <w:tr w:rsidR="001B25B2" w:rsidRPr="00AD4FCE" w:rsidTr="00AD0D89">
        <w:trPr>
          <w:trHeight w:val="603"/>
        </w:trPr>
        <w:tc>
          <w:tcPr>
            <w:tcW w:w="1975" w:type="dxa"/>
            <w:vMerge/>
            <w:tcBorders>
              <w:top w:val="single" w:sz="4" w:space="0" w:color="auto"/>
              <w:left w:val="single" w:sz="4" w:space="0" w:color="auto"/>
              <w:bottom w:val="single" w:sz="4" w:space="0" w:color="auto"/>
              <w:right w:val="single" w:sz="4" w:space="0" w:color="auto"/>
            </w:tcBorders>
            <w:vAlign w:val="center"/>
            <w:hideMark/>
          </w:tcPr>
          <w:p w:rsidR="001B25B2" w:rsidRPr="00AD4FCE" w:rsidRDefault="001B25B2" w:rsidP="00AD0D89">
            <w:pPr>
              <w:rPr>
                <w:rFonts w:ascii="Garamond" w:eastAsia="Times New Roman" w:hAnsi="Garamond" w:cs="Times New Roman"/>
                <w:b/>
                <w:bCs/>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1B25B2" w:rsidRPr="00AD4FCE" w:rsidRDefault="001B25B2"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city</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1B25B2" w:rsidRPr="001B25B2" w:rsidRDefault="0038580D" w:rsidP="001B25B2">
            <w:pPr>
              <w:jc w:val="center"/>
              <w:rPr>
                <w:rFonts w:ascii="Garamond" w:eastAsia="Times New Roman" w:hAnsi="Garamond" w:cs="Times New Roman"/>
                <w:color w:val="000000"/>
              </w:rPr>
            </w:pPr>
            <w:r>
              <w:rPr>
                <w:rFonts w:ascii="Garamond" w:eastAsia="Times New Roman" w:hAnsi="Garamond" w:cs="Times New Roman"/>
                <w:color w:val="000000"/>
              </w:rPr>
              <w:t>.00</w:t>
            </w:r>
          </w:p>
          <w:p w:rsidR="001B25B2" w:rsidRPr="00AD4FCE"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(.998)</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rsidR="001B25B2" w:rsidRPr="001B25B2" w:rsidRDefault="0038580D" w:rsidP="001B25B2">
            <w:pPr>
              <w:jc w:val="center"/>
              <w:rPr>
                <w:rFonts w:ascii="Garamond" w:eastAsia="Times New Roman" w:hAnsi="Garamond" w:cs="Times New Roman"/>
                <w:color w:val="000000"/>
              </w:rPr>
            </w:pPr>
            <w:r>
              <w:rPr>
                <w:rFonts w:ascii="Garamond" w:eastAsia="Times New Roman" w:hAnsi="Garamond" w:cs="Times New Roman"/>
                <w:color w:val="000000"/>
              </w:rPr>
              <w:t>.10</w:t>
            </w:r>
          </w:p>
          <w:p w:rsidR="001B25B2" w:rsidRPr="00AD4FCE" w:rsidRDefault="001B25B2" w:rsidP="001B25B2">
            <w:pPr>
              <w:jc w:val="center"/>
              <w:rPr>
                <w:rFonts w:ascii="Garamond" w:eastAsia="Times New Roman" w:hAnsi="Garamond" w:cs="Times New Roman"/>
                <w:color w:val="000000"/>
              </w:rPr>
            </w:pPr>
            <w:r w:rsidRPr="001B25B2">
              <w:rPr>
                <w:rFonts w:ascii="Garamond" w:eastAsia="Times New Roman" w:hAnsi="Garamond" w:cs="Times New Roman"/>
                <w:color w:val="000000"/>
              </w:rPr>
              <w:t>(.620)</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rsidR="001B25B2" w:rsidRPr="00AD4FCE" w:rsidRDefault="001B25B2" w:rsidP="00AD0D89">
            <w:pPr>
              <w:jc w:val="center"/>
              <w:rPr>
                <w:rFonts w:ascii="Garamond" w:eastAsia="Times New Roman" w:hAnsi="Garamond" w:cs="Times New Roman"/>
                <w:color w:val="000000"/>
              </w:rPr>
            </w:pPr>
            <w:r w:rsidRPr="00AD4FCE">
              <w:rPr>
                <w:rFonts w:ascii="Garamond" w:eastAsia="Times New Roman" w:hAnsi="Garamond" w:cs="Times New Roman"/>
                <w:color w:val="000000"/>
              </w:rPr>
              <w:t>-</w:t>
            </w:r>
          </w:p>
        </w:tc>
      </w:tr>
    </w:tbl>
    <w:p w:rsidR="00DE22CE" w:rsidRDefault="0038580D" w:rsidP="0038580D">
      <w:pPr>
        <w:pStyle w:val="Caption"/>
        <w:rPr>
          <w:rFonts w:ascii="Garamond" w:hAnsi="Garamond"/>
          <w:sz w:val="24"/>
          <w:szCs w:val="24"/>
        </w:rPr>
      </w:pPr>
      <w:r>
        <w:t>Table 13: South Asia</w:t>
      </w:r>
      <w:r w:rsidRPr="00AD4FCE">
        <w:t xml:space="preserve"> PMN</w:t>
      </w:r>
    </w:p>
    <w:p w:rsidR="0038580D" w:rsidRDefault="0038580D" w:rsidP="0038580D">
      <w:pPr>
        <w:rPr>
          <w:rFonts w:ascii="Garamond" w:hAnsi="Garamond"/>
          <w:sz w:val="24"/>
          <w:szCs w:val="24"/>
          <w:lang w:eastAsia="en-US"/>
        </w:rPr>
      </w:pPr>
      <w:r w:rsidRPr="0038580D">
        <w:rPr>
          <w:rFonts w:ascii="Garamond" w:hAnsi="Garamond"/>
          <w:sz w:val="24"/>
          <w:szCs w:val="24"/>
          <w:lang w:eastAsia="en-US"/>
        </w:rPr>
        <w:t>Table 13 shows that the</w:t>
      </w:r>
      <w:r>
        <w:rPr>
          <w:rFonts w:ascii="Garamond" w:hAnsi="Garamond"/>
          <w:sz w:val="24"/>
          <w:szCs w:val="24"/>
          <w:lang w:eastAsia="en-US"/>
        </w:rPr>
        <w:t xml:space="preserve"> South Asian</w:t>
      </w:r>
      <w:r w:rsidRPr="0038580D">
        <w:rPr>
          <w:rFonts w:ascii="Garamond" w:hAnsi="Garamond"/>
          <w:sz w:val="24"/>
          <w:szCs w:val="24"/>
          <w:lang w:eastAsia="en-US"/>
        </w:rPr>
        <w:t xml:space="preserve"> partial correlation </w:t>
      </w:r>
      <w:r>
        <w:rPr>
          <w:rFonts w:ascii="Garamond" w:hAnsi="Garamond"/>
          <w:sz w:val="24"/>
          <w:szCs w:val="24"/>
          <w:lang w:eastAsia="en-US"/>
        </w:rPr>
        <w:t>between city and state is .10</w:t>
      </w:r>
      <w:r w:rsidRPr="0038580D">
        <w:rPr>
          <w:rFonts w:ascii="Garamond" w:hAnsi="Garamond"/>
          <w:sz w:val="24"/>
          <w:szCs w:val="24"/>
          <w:lang w:eastAsia="en-US"/>
        </w:rPr>
        <w:t xml:space="preserve">, whereas </w:t>
      </w:r>
      <w:r>
        <w:rPr>
          <w:rFonts w:ascii="Garamond" w:hAnsi="Garamond"/>
          <w:sz w:val="24"/>
          <w:szCs w:val="24"/>
          <w:lang w:eastAsia="en-US"/>
        </w:rPr>
        <w:t>the bivariate correlation in Table 1 is .28</w:t>
      </w:r>
      <w:r w:rsidRPr="0038580D">
        <w:rPr>
          <w:rFonts w:ascii="Garamond" w:hAnsi="Garamond"/>
          <w:sz w:val="24"/>
          <w:szCs w:val="24"/>
          <w:lang w:eastAsia="en-US"/>
        </w:rPr>
        <w:t xml:space="preserve"> (see also Figure 4).  </w:t>
      </w:r>
      <w:r>
        <w:rPr>
          <w:rFonts w:ascii="Garamond" w:hAnsi="Garamond"/>
          <w:sz w:val="24"/>
          <w:szCs w:val="24"/>
          <w:lang w:eastAsia="en-US"/>
        </w:rPr>
        <w:t xml:space="preserve">Recall that both city and state are negatively correlated with year during this period in South Asia. </w:t>
      </w:r>
      <w:r w:rsidRPr="0038580D">
        <w:rPr>
          <w:rFonts w:ascii="Garamond" w:hAnsi="Garamond"/>
          <w:sz w:val="24"/>
          <w:szCs w:val="24"/>
          <w:lang w:eastAsia="en-US"/>
        </w:rPr>
        <w:t xml:space="preserve">The partial correlation between city and power configuration is </w:t>
      </w:r>
      <w:r>
        <w:rPr>
          <w:rFonts w:ascii="Garamond" w:hAnsi="Garamond"/>
          <w:sz w:val="24"/>
          <w:szCs w:val="24"/>
          <w:lang w:eastAsia="en-US"/>
        </w:rPr>
        <w:t xml:space="preserve">effectively </w:t>
      </w:r>
      <w:r w:rsidRPr="0038580D">
        <w:rPr>
          <w:rFonts w:ascii="Garamond" w:hAnsi="Garamond"/>
          <w:sz w:val="24"/>
          <w:szCs w:val="24"/>
          <w:lang w:eastAsia="en-US"/>
        </w:rPr>
        <w:t>zero</w:t>
      </w:r>
      <w:r>
        <w:rPr>
          <w:rFonts w:ascii="Garamond" w:hAnsi="Garamond"/>
          <w:sz w:val="24"/>
          <w:szCs w:val="24"/>
          <w:lang w:eastAsia="en-US"/>
        </w:rPr>
        <w:t>, whereas the bivariate correlation reported in Table 1 was .16.. The</w:t>
      </w:r>
      <w:r w:rsidRPr="0038580D">
        <w:rPr>
          <w:rFonts w:ascii="Garamond" w:hAnsi="Garamond"/>
          <w:sz w:val="24"/>
          <w:szCs w:val="24"/>
          <w:lang w:eastAsia="en-US"/>
        </w:rPr>
        <w:t xml:space="preserve"> partial correlation between stat</w:t>
      </w:r>
      <w:r>
        <w:rPr>
          <w:rFonts w:ascii="Garamond" w:hAnsi="Garamond"/>
          <w:sz w:val="24"/>
          <w:szCs w:val="24"/>
          <w:lang w:eastAsia="en-US"/>
        </w:rPr>
        <w:t>e and power configuration is .19 whereas the bivariate correlation in Table 1 was .27.  Controlling for the long-term downward trends of city and state sizes reduces the partial correlations.</w:t>
      </w:r>
    </w:p>
    <w:tbl>
      <w:tblPr>
        <w:tblW w:w="7605" w:type="dxa"/>
        <w:tblLook w:val="04A0" w:firstRow="1" w:lastRow="0" w:firstColumn="1" w:lastColumn="0" w:noHBand="0" w:noVBand="1"/>
      </w:tblPr>
      <w:tblGrid>
        <w:gridCol w:w="1975"/>
        <w:gridCol w:w="1080"/>
        <w:gridCol w:w="1530"/>
        <w:gridCol w:w="1530"/>
        <w:gridCol w:w="1490"/>
      </w:tblGrid>
      <w:tr w:rsidR="00B048F5" w:rsidRPr="00AD4FCE" w:rsidTr="00AD0D89">
        <w:trPr>
          <w:trHeight w:val="603"/>
        </w:trPr>
        <w:tc>
          <w:tcPr>
            <w:tcW w:w="30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PMN / level                          Partial Correlation</w:t>
            </w:r>
          </w:p>
        </w:tc>
        <w:tc>
          <w:tcPr>
            <w:tcW w:w="4550" w:type="dxa"/>
            <w:gridSpan w:val="3"/>
            <w:tcBorders>
              <w:top w:val="single" w:sz="4" w:space="0" w:color="auto"/>
              <w:left w:val="nil"/>
              <w:bottom w:val="single" w:sz="8" w:space="0" w:color="auto"/>
              <w:right w:val="single" w:sz="4" w:space="0" w:color="000000"/>
            </w:tcBorders>
            <w:shd w:val="clear" w:color="auto" w:fill="auto"/>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 xml:space="preserve">East Asian PMN                              </w:t>
            </w:r>
          </w:p>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 xml:space="preserve"> (-1000 to 1800)</w:t>
            </w:r>
          </w:p>
        </w:tc>
      </w:tr>
      <w:tr w:rsidR="00B048F5" w:rsidRPr="00AD4FCE" w:rsidTr="00AD0D89">
        <w:trPr>
          <w:trHeight w:val="301"/>
        </w:trPr>
        <w:tc>
          <w:tcPr>
            <w:tcW w:w="3055" w:type="dxa"/>
            <w:gridSpan w:val="2"/>
            <w:vMerge/>
            <w:tcBorders>
              <w:top w:val="single" w:sz="4" w:space="0" w:color="auto"/>
              <w:left w:val="single" w:sz="4" w:space="0" w:color="auto"/>
              <w:bottom w:val="single" w:sz="4" w:space="0" w:color="auto"/>
              <w:right w:val="single" w:sz="4" w:space="0" w:color="auto"/>
            </w:tcBorders>
            <w:vAlign w:val="center"/>
            <w:hideMark/>
          </w:tcPr>
          <w:p w:rsidR="00B048F5" w:rsidRPr="00AD4FCE" w:rsidRDefault="00B048F5" w:rsidP="00AD0D89">
            <w:pPr>
              <w:rPr>
                <w:rFonts w:ascii="Garamond" w:eastAsia="Times New Roman" w:hAnsi="Garamond" w:cs="Times New Roman"/>
                <w:b/>
                <w:bCs/>
                <w:color w:val="000000"/>
              </w:rPr>
            </w:pPr>
          </w:p>
        </w:tc>
        <w:tc>
          <w:tcPr>
            <w:tcW w:w="1530" w:type="dxa"/>
            <w:tcBorders>
              <w:top w:val="nil"/>
              <w:left w:val="nil"/>
              <w:bottom w:val="single" w:sz="4" w:space="0" w:color="auto"/>
              <w:right w:val="single" w:sz="4" w:space="0" w:color="auto"/>
            </w:tcBorders>
            <w:shd w:val="clear" w:color="auto" w:fill="auto"/>
            <w:noWrap/>
            <w:vAlign w:val="bottom"/>
            <w:hideMark/>
          </w:tcPr>
          <w:p w:rsidR="00B048F5" w:rsidRPr="00AD4FCE" w:rsidRDefault="00103FFF"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state</w:t>
            </w:r>
          </w:p>
        </w:tc>
        <w:tc>
          <w:tcPr>
            <w:tcW w:w="1490"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city</w:t>
            </w:r>
          </w:p>
        </w:tc>
      </w:tr>
      <w:tr w:rsidR="00B048F5" w:rsidRPr="00AD4FCE" w:rsidTr="00AD0D89">
        <w:trPr>
          <w:trHeight w:val="603"/>
        </w:trPr>
        <w:tc>
          <w:tcPr>
            <w:tcW w:w="1975" w:type="dxa"/>
            <w:vMerge w:val="restart"/>
            <w:tcBorders>
              <w:top w:val="nil"/>
              <w:left w:val="single" w:sz="4" w:space="0" w:color="auto"/>
              <w:bottom w:val="single" w:sz="4" w:space="0" w:color="auto"/>
              <w:right w:val="single" w:sz="4" w:space="0" w:color="auto"/>
            </w:tcBorders>
            <w:shd w:val="clear" w:color="auto" w:fill="auto"/>
            <w:vAlign w:val="center"/>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East Asian PMN                               (-1000 to 1800)</w:t>
            </w:r>
          </w:p>
        </w:tc>
        <w:tc>
          <w:tcPr>
            <w:tcW w:w="1080" w:type="dxa"/>
            <w:tcBorders>
              <w:top w:val="nil"/>
              <w:left w:val="nil"/>
              <w:bottom w:val="single" w:sz="4" w:space="0" w:color="auto"/>
              <w:right w:val="single" w:sz="4" w:space="0" w:color="auto"/>
            </w:tcBorders>
            <w:shd w:val="clear" w:color="auto" w:fill="auto"/>
            <w:noWrap/>
            <w:vAlign w:val="bottom"/>
            <w:hideMark/>
          </w:tcPr>
          <w:p w:rsidR="00B048F5" w:rsidRPr="00AD4FCE" w:rsidRDefault="00103FFF"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530" w:type="dxa"/>
            <w:tcBorders>
              <w:top w:val="nil"/>
              <w:left w:val="single" w:sz="4" w:space="0" w:color="auto"/>
              <w:bottom w:val="single" w:sz="4" w:space="0" w:color="auto"/>
              <w:right w:val="single" w:sz="4" w:space="0" w:color="auto"/>
            </w:tcBorders>
            <w:shd w:val="clear" w:color="auto" w:fill="auto"/>
            <w:vAlign w:val="bottom"/>
            <w:hideMark/>
          </w:tcPr>
          <w:p w:rsidR="00B048F5" w:rsidRPr="00560A02" w:rsidRDefault="00B048F5" w:rsidP="00AD0D89">
            <w:pPr>
              <w:jc w:val="center"/>
              <w:rPr>
                <w:rFonts w:ascii="Times New Roman" w:eastAsia="Times New Roman" w:hAnsi="Times New Roman" w:cs="Times New Roman"/>
                <w:color w:val="000000"/>
              </w:rPr>
            </w:pPr>
            <w:r w:rsidRPr="00560A02">
              <w:rPr>
                <w:rFonts w:ascii="Times New Roman" w:eastAsia="Times New Roman" w:hAnsi="Times New Roman" w:cs="Times New Roman"/>
                <w:color w:val="000000"/>
              </w:rPr>
              <w:t>-</w:t>
            </w:r>
          </w:p>
        </w:tc>
        <w:tc>
          <w:tcPr>
            <w:tcW w:w="153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.47</w:t>
            </w:r>
            <w:r w:rsidR="00B048F5" w:rsidRPr="00B048F5">
              <w:rPr>
                <w:rFonts w:ascii="Times New Roman" w:eastAsia="Times New Roman" w:hAnsi="Times New Roman" w:cs="Times New Roman"/>
                <w:color w:val="000000"/>
              </w:rPr>
              <w:t>**</w:t>
            </w:r>
          </w:p>
          <w:p w:rsidR="00B048F5" w:rsidRPr="00560A02" w:rsidRDefault="00B048F5" w:rsidP="00B048F5">
            <w:pPr>
              <w:jc w:val="center"/>
              <w:rPr>
                <w:rFonts w:ascii="Times New Roman" w:eastAsia="Times New Roman" w:hAnsi="Times New Roman" w:cs="Times New Roman"/>
                <w:color w:val="000000"/>
              </w:rPr>
            </w:pPr>
            <w:r w:rsidRPr="00B048F5">
              <w:rPr>
                <w:rFonts w:ascii="Times New Roman" w:eastAsia="Times New Roman" w:hAnsi="Times New Roman" w:cs="Times New Roman"/>
                <w:color w:val="000000"/>
              </w:rPr>
              <w:t>(.000)</w:t>
            </w:r>
          </w:p>
        </w:tc>
        <w:tc>
          <w:tcPr>
            <w:tcW w:w="149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p>
          <w:p w:rsidR="00B048F5" w:rsidRPr="00560A02" w:rsidRDefault="00B048F5" w:rsidP="00B048F5">
            <w:pPr>
              <w:jc w:val="center"/>
              <w:rPr>
                <w:rFonts w:ascii="Times New Roman" w:eastAsia="Times New Roman" w:hAnsi="Times New Roman" w:cs="Times New Roman"/>
                <w:color w:val="000000"/>
              </w:rPr>
            </w:pPr>
            <w:r w:rsidRPr="00B048F5">
              <w:rPr>
                <w:rFonts w:ascii="Times New Roman" w:eastAsia="Times New Roman" w:hAnsi="Times New Roman" w:cs="Times New Roman"/>
                <w:color w:val="000000"/>
              </w:rPr>
              <w:t>(.918)</w:t>
            </w:r>
          </w:p>
        </w:tc>
      </w:tr>
      <w:tr w:rsidR="00B048F5" w:rsidRPr="00AD4FCE" w:rsidTr="00AD0D89">
        <w:trPr>
          <w:trHeight w:val="603"/>
        </w:trPr>
        <w:tc>
          <w:tcPr>
            <w:tcW w:w="1975" w:type="dxa"/>
            <w:vMerge/>
            <w:tcBorders>
              <w:top w:val="nil"/>
              <w:left w:val="single" w:sz="4" w:space="0" w:color="auto"/>
              <w:bottom w:val="single" w:sz="4" w:space="0" w:color="auto"/>
              <w:right w:val="single" w:sz="4" w:space="0" w:color="auto"/>
            </w:tcBorders>
            <w:vAlign w:val="center"/>
            <w:hideMark/>
          </w:tcPr>
          <w:p w:rsidR="00B048F5" w:rsidRPr="00AD4FCE" w:rsidRDefault="00B048F5" w:rsidP="00AD0D89">
            <w:pPr>
              <w:rPr>
                <w:rFonts w:ascii="Garamond" w:eastAsia="Times New Roman" w:hAnsi="Garamond"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state</w:t>
            </w:r>
          </w:p>
        </w:tc>
        <w:tc>
          <w:tcPr>
            <w:tcW w:w="153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.47</w:t>
            </w:r>
            <w:r w:rsidR="00B048F5" w:rsidRPr="00B048F5">
              <w:rPr>
                <w:rFonts w:ascii="Times New Roman" w:eastAsia="Times New Roman" w:hAnsi="Times New Roman" w:cs="Times New Roman"/>
                <w:color w:val="000000"/>
              </w:rPr>
              <w:t>**</w:t>
            </w:r>
          </w:p>
          <w:p w:rsidR="00B048F5" w:rsidRPr="00560A02" w:rsidRDefault="00B048F5" w:rsidP="00B048F5">
            <w:pPr>
              <w:jc w:val="center"/>
              <w:rPr>
                <w:rFonts w:ascii="Times New Roman" w:eastAsia="Times New Roman" w:hAnsi="Times New Roman" w:cs="Times New Roman"/>
                <w:color w:val="000000"/>
              </w:rPr>
            </w:pPr>
            <w:r w:rsidRPr="00B048F5">
              <w:rPr>
                <w:rFonts w:ascii="Times New Roman" w:eastAsia="Times New Roman" w:hAnsi="Times New Roman" w:cs="Times New Roman"/>
                <w:color w:val="000000"/>
              </w:rPr>
              <w:t>(.000)</w:t>
            </w:r>
          </w:p>
        </w:tc>
        <w:tc>
          <w:tcPr>
            <w:tcW w:w="1530" w:type="dxa"/>
            <w:tcBorders>
              <w:top w:val="nil"/>
              <w:left w:val="nil"/>
              <w:bottom w:val="single" w:sz="4" w:space="0" w:color="auto"/>
              <w:right w:val="single" w:sz="4" w:space="0" w:color="auto"/>
            </w:tcBorders>
            <w:shd w:val="clear" w:color="auto" w:fill="auto"/>
            <w:vAlign w:val="bottom"/>
            <w:hideMark/>
          </w:tcPr>
          <w:p w:rsidR="00B048F5" w:rsidRPr="00560A02" w:rsidRDefault="00B048F5" w:rsidP="00AD0D89">
            <w:pPr>
              <w:jc w:val="center"/>
              <w:rPr>
                <w:rFonts w:ascii="Times New Roman" w:eastAsia="Times New Roman" w:hAnsi="Times New Roman" w:cs="Times New Roman"/>
                <w:color w:val="000000"/>
              </w:rPr>
            </w:pPr>
            <w:r w:rsidRPr="00560A02">
              <w:rPr>
                <w:rFonts w:ascii="Times New Roman" w:eastAsia="Times New Roman" w:hAnsi="Times New Roman" w:cs="Times New Roman"/>
                <w:color w:val="000000"/>
              </w:rPr>
              <w:t>-</w:t>
            </w:r>
          </w:p>
        </w:tc>
        <w:tc>
          <w:tcPr>
            <w:tcW w:w="149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p w:rsidR="00B048F5" w:rsidRPr="00560A02" w:rsidRDefault="00B048F5" w:rsidP="00B048F5">
            <w:pPr>
              <w:jc w:val="center"/>
              <w:rPr>
                <w:rFonts w:ascii="Times New Roman" w:eastAsia="Times New Roman" w:hAnsi="Times New Roman" w:cs="Times New Roman"/>
                <w:color w:val="000000"/>
              </w:rPr>
            </w:pPr>
            <w:r w:rsidRPr="00B048F5">
              <w:rPr>
                <w:rFonts w:ascii="Times New Roman" w:eastAsia="Times New Roman" w:hAnsi="Times New Roman" w:cs="Times New Roman"/>
                <w:color w:val="000000"/>
              </w:rPr>
              <w:t>(.786)</w:t>
            </w:r>
          </w:p>
        </w:tc>
      </w:tr>
      <w:tr w:rsidR="00B048F5" w:rsidRPr="00AD4FCE" w:rsidTr="00AD0D89">
        <w:trPr>
          <w:trHeight w:val="603"/>
        </w:trPr>
        <w:tc>
          <w:tcPr>
            <w:tcW w:w="1975" w:type="dxa"/>
            <w:vMerge/>
            <w:tcBorders>
              <w:top w:val="nil"/>
              <w:left w:val="single" w:sz="4" w:space="0" w:color="auto"/>
              <w:bottom w:val="single" w:sz="4" w:space="0" w:color="auto"/>
              <w:right w:val="single" w:sz="4" w:space="0" w:color="auto"/>
            </w:tcBorders>
            <w:vAlign w:val="center"/>
            <w:hideMark/>
          </w:tcPr>
          <w:p w:rsidR="00B048F5" w:rsidRPr="00AD4FCE" w:rsidRDefault="00B048F5" w:rsidP="00AD0D89">
            <w:pPr>
              <w:rPr>
                <w:rFonts w:ascii="Garamond" w:eastAsia="Times New Roman" w:hAnsi="Garamond" w:cs="Times New Roman"/>
                <w:b/>
                <w:bCs/>
                <w:color w:val="000000"/>
              </w:rPr>
            </w:pPr>
          </w:p>
        </w:tc>
        <w:tc>
          <w:tcPr>
            <w:tcW w:w="1080"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city</w:t>
            </w:r>
          </w:p>
        </w:tc>
        <w:tc>
          <w:tcPr>
            <w:tcW w:w="153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-.01</w:t>
            </w:r>
          </w:p>
          <w:p w:rsidR="00B048F5" w:rsidRPr="00560A02" w:rsidRDefault="00B048F5" w:rsidP="00B048F5">
            <w:pPr>
              <w:jc w:val="center"/>
              <w:rPr>
                <w:rFonts w:ascii="Times New Roman" w:eastAsia="Times New Roman" w:hAnsi="Times New Roman" w:cs="Times New Roman"/>
                <w:color w:val="000000"/>
              </w:rPr>
            </w:pPr>
            <w:r w:rsidRPr="00B048F5">
              <w:rPr>
                <w:rFonts w:ascii="Times New Roman" w:eastAsia="Times New Roman" w:hAnsi="Times New Roman" w:cs="Times New Roman"/>
                <w:color w:val="000000"/>
              </w:rPr>
              <w:t>(.918)</w:t>
            </w:r>
          </w:p>
        </w:tc>
        <w:tc>
          <w:tcPr>
            <w:tcW w:w="153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.04</w:t>
            </w:r>
          </w:p>
          <w:p w:rsidR="00B048F5" w:rsidRPr="00560A02" w:rsidRDefault="00B048F5" w:rsidP="00B048F5">
            <w:pPr>
              <w:jc w:val="center"/>
              <w:rPr>
                <w:rFonts w:ascii="Times New Roman" w:eastAsia="Times New Roman" w:hAnsi="Times New Roman" w:cs="Times New Roman"/>
                <w:color w:val="000000"/>
              </w:rPr>
            </w:pPr>
            <w:r w:rsidRPr="00B048F5">
              <w:rPr>
                <w:rFonts w:ascii="Times New Roman" w:eastAsia="Times New Roman" w:hAnsi="Times New Roman" w:cs="Times New Roman"/>
                <w:color w:val="000000"/>
              </w:rPr>
              <w:t>(.786)</w:t>
            </w:r>
          </w:p>
        </w:tc>
        <w:tc>
          <w:tcPr>
            <w:tcW w:w="1490" w:type="dxa"/>
            <w:tcBorders>
              <w:top w:val="nil"/>
              <w:left w:val="nil"/>
              <w:bottom w:val="single" w:sz="4" w:space="0" w:color="auto"/>
              <w:right w:val="single" w:sz="4" w:space="0" w:color="auto"/>
            </w:tcBorders>
            <w:shd w:val="clear" w:color="auto" w:fill="auto"/>
            <w:vAlign w:val="bottom"/>
            <w:hideMark/>
          </w:tcPr>
          <w:p w:rsidR="00B048F5" w:rsidRPr="00560A02" w:rsidRDefault="00B048F5" w:rsidP="00AD0D89">
            <w:pPr>
              <w:jc w:val="center"/>
              <w:rPr>
                <w:rFonts w:ascii="Times New Roman" w:eastAsia="Times New Roman" w:hAnsi="Times New Roman" w:cs="Times New Roman"/>
                <w:color w:val="000000"/>
              </w:rPr>
            </w:pPr>
            <w:r w:rsidRPr="00560A02">
              <w:rPr>
                <w:rFonts w:ascii="Times New Roman" w:eastAsia="Times New Roman" w:hAnsi="Times New Roman" w:cs="Times New Roman"/>
                <w:color w:val="000000"/>
              </w:rPr>
              <w:t>-</w:t>
            </w:r>
          </w:p>
        </w:tc>
      </w:tr>
    </w:tbl>
    <w:p w:rsidR="00DE22CE" w:rsidRDefault="00103FFF" w:rsidP="00103FFF">
      <w:pPr>
        <w:pStyle w:val="Caption"/>
        <w:rPr>
          <w:rFonts w:ascii="Garamond" w:hAnsi="Garamond"/>
          <w:sz w:val="24"/>
          <w:szCs w:val="24"/>
        </w:rPr>
      </w:pPr>
      <w:r>
        <w:t xml:space="preserve">Table 14: </w:t>
      </w:r>
      <w:r w:rsidRPr="00AD4FCE">
        <w:t>East Asian PMN</w:t>
      </w:r>
    </w:p>
    <w:p w:rsidR="00103FFF" w:rsidRDefault="00103FFF" w:rsidP="00103FFF">
      <w:pPr>
        <w:rPr>
          <w:rFonts w:ascii="Garamond" w:hAnsi="Garamond"/>
          <w:sz w:val="24"/>
          <w:szCs w:val="24"/>
          <w:lang w:eastAsia="en-US"/>
        </w:rPr>
      </w:pPr>
      <w:r w:rsidRPr="00103FFF">
        <w:rPr>
          <w:rFonts w:ascii="Garamond" w:hAnsi="Garamond"/>
          <w:sz w:val="24"/>
          <w:szCs w:val="24"/>
          <w:lang w:eastAsia="en-US"/>
        </w:rPr>
        <w:t xml:space="preserve">Table 14 is for a </w:t>
      </w:r>
      <w:r>
        <w:rPr>
          <w:rFonts w:ascii="Garamond" w:hAnsi="Garamond"/>
          <w:sz w:val="24"/>
          <w:szCs w:val="24"/>
          <w:lang w:eastAsia="en-US"/>
        </w:rPr>
        <w:t xml:space="preserve">somewhat </w:t>
      </w:r>
      <w:r w:rsidRPr="00103FFF">
        <w:rPr>
          <w:rFonts w:ascii="Garamond" w:hAnsi="Garamond"/>
          <w:sz w:val="24"/>
          <w:szCs w:val="24"/>
          <w:lang w:eastAsia="en-US"/>
        </w:rPr>
        <w:t>shorter and more recent period than Table 5 but the partial correlations betwee</w:t>
      </w:r>
      <w:r>
        <w:rPr>
          <w:rFonts w:ascii="Garamond" w:hAnsi="Garamond"/>
          <w:sz w:val="24"/>
          <w:szCs w:val="24"/>
          <w:lang w:eastAsia="en-US"/>
        </w:rPr>
        <w:t>n city and state are similar (.02 and  .04</w:t>
      </w:r>
      <w:r w:rsidRPr="00103FFF">
        <w:rPr>
          <w:rFonts w:ascii="Garamond" w:hAnsi="Garamond"/>
          <w:sz w:val="24"/>
          <w:szCs w:val="24"/>
          <w:lang w:eastAsia="en-US"/>
        </w:rPr>
        <w:t xml:space="preserve">).  The partial correlation between power configuration and city is </w:t>
      </w:r>
      <w:r>
        <w:rPr>
          <w:rFonts w:ascii="Garamond" w:hAnsi="Garamond"/>
          <w:sz w:val="24"/>
          <w:szCs w:val="24"/>
          <w:lang w:eastAsia="en-US"/>
        </w:rPr>
        <w:t>-.01</w:t>
      </w:r>
      <w:r w:rsidRPr="00103FFF">
        <w:rPr>
          <w:rFonts w:ascii="Garamond" w:hAnsi="Garamond"/>
          <w:sz w:val="24"/>
          <w:szCs w:val="24"/>
          <w:lang w:eastAsia="en-US"/>
        </w:rPr>
        <w:t xml:space="preserve"> and that between power </w:t>
      </w:r>
      <w:r w:rsidR="006501BB">
        <w:rPr>
          <w:rFonts w:ascii="Garamond" w:hAnsi="Garamond"/>
          <w:sz w:val="24"/>
          <w:szCs w:val="24"/>
          <w:lang w:eastAsia="en-US"/>
        </w:rPr>
        <w:t>configuration</w:t>
      </w:r>
      <w:r>
        <w:rPr>
          <w:rFonts w:ascii="Garamond" w:hAnsi="Garamond"/>
          <w:sz w:val="24"/>
          <w:szCs w:val="24"/>
          <w:lang w:eastAsia="en-US"/>
        </w:rPr>
        <w:t xml:space="preserve"> and state is .47</w:t>
      </w:r>
      <w:r w:rsidRPr="00103FFF">
        <w:rPr>
          <w:rFonts w:ascii="Garamond" w:hAnsi="Garamond"/>
          <w:sz w:val="24"/>
          <w:szCs w:val="24"/>
          <w:lang w:eastAsia="en-US"/>
        </w:rPr>
        <w:t xml:space="preserve"> a</w:t>
      </w:r>
      <w:r>
        <w:rPr>
          <w:rFonts w:ascii="Garamond" w:hAnsi="Garamond"/>
          <w:sz w:val="24"/>
          <w:szCs w:val="24"/>
          <w:lang w:eastAsia="en-US"/>
        </w:rPr>
        <w:t xml:space="preserve">nd is statistically significant (see also Figure 5).  This must be due to the logical overlap between the power configuration and the size of the largest state. </w:t>
      </w:r>
    </w:p>
    <w:tbl>
      <w:tblPr>
        <w:tblW w:w="7619" w:type="dxa"/>
        <w:tblLook w:val="04A0" w:firstRow="1" w:lastRow="0" w:firstColumn="1" w:lastColumn="0" w:noHBand="0" w:noVBand="1"/>
      </w:tblPr>
      <w:tblGrid>
        <w:gridCol w:w="1975"/>
        <w:gridCol w:w="1170"/>
        <w:gridCol w:w="1350"/>
        <w:gridCol w:w="1761"/>
        <w:gridCol w:w="1363"/>
      </w:tblGrid>
      <w:tr w:rsidR="00B048F5" w:rsidRPr="00AD4FCE" w:rsidTr="00AD0D89">
        <w:trPr>
          <w:trHeight w:val="600"/>
        </w:trPr>
        <w:tc>
          <w:tcPr>
            <w:tcW w:w="31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PMN / level                          Partial Correlation</w:t>
            </w:r>
          </w:p>
        </w:tc>
        <w:tc>
          <w:tcPr>
            <w:tcW w:w="4474" w:type="dxa"/>
            <w:gridSpan w:val="3"/>
            <w:tcBorders>
              <w:top w:val="single" w:sz="4" w:space="0" w:color="auto"/>
              <w:left w:val="nil"/>
              <w:bottom w:val="single" w:sz="8" w:space="0" w:color="auto"/>
              <w:right w:val="single" w:sz="4" w:space="0" w:color="000000"/>
            </w:tcBorders>
            <w:shd w:val="clear" w:color="auto" w:fill="auto"/>
            <w:vAlign w:val="bottom"/>
            <w:hideMark/>
          </w:tcPr>
          <w:p w:rsidR="00B048F5"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 xml:space="preserve">Central PMN                                                 </w:t>
            </w:r>
          </w:p>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(-1500 to -700)</w:t>
            </w:r>
          </w:p>
        </w:tc>
      </w:tr>
      <w:tr w:rsidR="00B048F5" w:rsidRPr="00AD4FCE" w:rsidTr="00AD0D89">
        <w:trPr>
          <w:trHeight w:val="300"/>
        </w:trPr>
        <w:tc>
          <w:tcPr>
            <w:tcW w:w="3145" w:type="dxa"/>
            <w:gridSpan w:val="2"/>
            <w:vMerge/>
            <w:tcBorders>
              <w:top w:val="single" w:sz="4" w:space="0" w:color="auto"/>
              <w:left w:val="single" w:sz="4" w:space="0" w:color="auto"/>
              <w:bottom w:val="single" w:sz="4" w:space="0" w:color="auto"/>
              <w:right w:val="single" w:sz="4" w:space="0" w:color="auto"/>
            </w:tcBorders>
            <w:vAlign w:val="center"/>
            <w:hideMark/>
          </w:tcPr>
          <w:p w:rsidR="00B048F5" w:rsidRPr="00AD4FCE" w:rsidRDefault="00B048F5" w:rsidP="00AD0D89">
            <w:pPr>
              <w:rPr>
                <w:rFonts w:ascii="Garamond" w:eastAsia="Times New Roman" w:hAnsi="Garamond" w:cs="Times New Roman"/>
                <w:b/>
                <w:bCs/>
                <w:color w:val="000000"/>
              </w:rPr>
            </w:pPr>
          </w:p>
        </w:tc>
        <w:tc>
          <w:tcPr>
            <w:tcW w:w="1350" w:type="dxa"/>
            <w:tcBorders>
              <w:top w:val="nil"/>
              <w:left w:val="nil"/>
              <w:bottom w:val="single" w:sz="4" w:space="0" w:color="auto"/>
              <w:right w:val="single" w:sz="4" w:space="0" w:color="auto"/>
            </w:tcBorders>
            <w:shd w:val="clear" w:color="auto" w:fill="auto"/>
            <w:noWrap/>
            <w:vAlign w:val="bottom"/>
            <w:hideMark/>
          </w:tcPr>
          <w:p w:rsidR="00B048F5" w:rsidRPr="00AD4FCE" w:rsidRDefault="00103FFF"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761"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state</w:t>
            </w:r>
          </w:p>
        </w:tc>
        <w:tc>
          <w:tcPr>
            <w:tcW w:w="1363"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city</w:t>
            </w:r>
          </w:p>
        </w:tc>
      </w:tr>
      <w:tr w:rsidR="00B048F5" w:rsidRPr="00AD4FCE" w:rsidTr="00AD0D89">
        <w:trPr>
          <w:trHeight w:val="600"/>
        </w:trPr>
        <w:tc>
          <w:tcPr>
            <w:tcW w:w="1975" w:type="dxa"/>
            <w:vMerge w:val="restart"/>
            <w:tcBorders>
              <w:top w:val="nil"/>
              <w:left w:val="single" w:sz="4" w:space="0" w:color="auto"/>
              <w:bottom w:val="single" w:sz="4" w:space="0" w:color="auto"/>
              <w:right w:val="single" w:sz="4" w:space="0" w:color="auto"/>
            </w:tcBorders>
            <w:shd w:val="clear" w:color="auto" w:fill="auto"/>
            <w:vAlign w:val="center"/>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Central PMN                                                 (-1500 to -700)</w:t>
            </w:r>
          </w:p>
        </w:tc>
        <w:tc>
          <w:tcPr>
            <w:tcW w:w="1170" w:type="dxa"/>
            <w:tcBorders>
              <w:top w:val="nil"/>
              <w:left w:val="nil"/>
              <w:bottom w:val="single" w:sz="4" w:space="0" w:color="auto"/>
              <w:right w:val="single" w:sz="4" w:space="0" w:color="auto"/>
            </w:tcBorders>
            <w:shd w:val="clear" w:color="auto" w:fill="auto"/>
            <w:noWrap/>
            <w:vAlign w:val="bottom"/>
            <w:hideMark/>
          </w:tcPr>
          <w:p w:rsidR="00B048F5" w:rsidRPr="00AD4FCE" w:rsidRDefault="00103FFF" w:rsidP="00AD0D89">
            <w:pPr>
              <w:jc w:val="center"/>
              <w:rPr>
                <w:rFonts w:ascii="Garamond" w:eastAsia="Times New Roman" w:hAnsi="Garamond" w:cs="Times New Roman"/>
                <w:b/>
                <w:bCs/>
                <w:color w:val="000000"/>
              </w:rPr>
            </w:pPr>
            <w:proofErr w:type="spellStart"/>
            <w:r>
              <w:rPr>
                <w:rFonts w:ascii="Garamond" w:eastAsia="Times New Roman" w:hAnsi="Garamond" w:cs="Times New Roman"/>
                <w:b/>
                <w:bCs/>
                <w:color w:val="000000"/>
              </w:rPr>
              <w:t>powcon</w:t>
            </w:r>
            <w:proofErr w:type="spellEnd"/>
          </w:p>
        </w:tc>
        <w:tc>
          <w:tcPr>
            <w:tcW w:w="1350" w:type="dxa"/>
            <w:tcBorders>
              <w:top w:val="nil"/>
              <w:left w:val="nil"/>
              <w:bottom w:val="single" w:sz="4" w:space="0" w:color="auto"/>
              <w:right w:val="single" w:sz="4" w:space="0" w:color="auto"/>
            </w:tcBorders>
            <w:shd w:val="clear" w:color="auto" w:fill="auto"/>
            <w:vAlign w:val="bottom"/>
            <w:hideMark/>
          </w:tcPr>
          <w:p w:rsidR="00B048F5" w:rsidRPr="00AD4FCE" w:rsidRDefault="00B048F5" w:rsidP="00AD0D89">
            <w:pPr>
              <w:jc w:val="center"/>
              <w:rPr>
                <w:rFonts w:ascii="Garamond" w:eastAsia="Times New Roman" w:hAnsi="Garamond" w:cs="Times New Roman"/>
                <w:color w:val="000000"/>
              </w:rPr>
            </w:pPr>
            <w:r w:rsidRPr="00AD4FCE">
              <w:rPr>
                <w:rFonts w:ascii="Garamond" w:eastAsia="Times New Roman" w:hAnsi="Garamond" w:cs="Times New Roman"/>
                <w:color w:val="000000"/>
              </w:rPr>
              <w:t>-</w:t>
            </w:r>
          </w:p>
        </w:tc>
        <w:tc>
          <w:tcPr>
            <w:tcW w:w="1761"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Garamond" w:eastAsia="Times New Roman" w:hAnsi="Garamond" w:cs="Times New Roman"/>
                <w:color w:val="000000"/>
              </w:rPr>
            </w:pPr>
            <w:r>
              <w:rPr>
                <w:rFonts w:ascii="Garamond" w:eastAsia="Times New Roman" w:hAnsi="Garamond" w:cs="Times New Roman"/>
                <w:color w:val="000000"/>
              </w:rPr>
              <w:t>.34</w:t>
            </w:r>
          </w:p>
          <w:p w:rsidR="00B048F5" w:rsidRPr="00AD4FCE" w:rsidRDefault="00B048F5" w:rsidP="00B048F5">
            <w:pPr>
              <w:jc w:val="center"/>
              <w:rPr>
                <w:rFonts w:ascii="Garamond" w:eastAsia="Times New Roman" w:hAnsi="Garamond" w:cs="Times New Roman"/>
                <w:color w:val="000000"/>
              </w:rPr>
            </w:pPr>
            <w:r w:rsidRPr="00B048F5">
              <w:rPr>
                <w:rFonts w:ascii="Garamond" w:eastAsia="Times New Roman" w:hAnsi="Garamond" w:cs="Times New Roman"/>
                <w:color w:val="000000"/>
              </w:rPr>
              <w:t>(.199)</w:t>
            </w:r>
          </w:p>
        </w:tc>
        <w:tc>
          <w:tcPr>
            <w:tcW w:w="1363"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Garamond" w:eastAsia="Times New Roman" w:hAnsi="Garamond" w:cs="Times New Roman"/>
                <w:color w:val="000000"/>
              </w:rPr>
            </w:pPr>
            <w:r>
              <w:rPr>
                <w:rFonts w:ascii="Garamond" w:eastAsia="Times New Roman" w:hAnsi="Garamond" w:cs="Times New Roman"/>
                <w:color w:val="000000"/>
              </w:rPr>
              <w:t>-.51</w:t>
            </w:r>
            <w:r w:rsidR="00B048F5">
              <w:rPr>
                <w:rFonts w:ascii="Garamond" w:eastAsia="Times New Roman" w:hAnsi="Garamond" w:cs="Times New Roman"/>
                <w:color w:val="000000"/>
              </w:rPr>
              <w:t>*</w:t>
            </w:r>
          </w:p>
          <w:p w:rsidR="00B048F5" w:rsidRPr="00AD4FCE" w:rsidRDefault="00B048F5" w:rsidP="00B048F5">
            <w:pPr>
              <w:jc w:val="center"/>
              <w:rPr>
                <w:rFonts w:ascii="Garamond" w:eastAsia="Times New Roman" w:hAnsi="Garamond" w:cs="Times New Roman"/>
                <w:color w:val="000000"/>
              </w:rPr>
            </w:pPr>
            <w:r w:rsidRPr="00B048F5">
              <w:rPr>
                <w:rFonts w:ascii="Garamond" w:eastAsia="Times New Roman" w:hAnsi="Garamond" w:cs="Times New Roman"/>
                <w:color w:val="000000"/>
              </w:rPr>
              <w:t>(.045)</w:t>
            </w:r>
          </w:p>
        </w:tc>
      </w:tr>
      <w:tr w:rsidR="00B048F5" w:rsidRPr="00AD4FCE" w:rsidTr="00AD0D89">
        <w:trPr>
          <w:trHeight w:val="600"/>
        </w:trPr>
        <w:tc>
          <w:tcPr>
            <w:tcW w:w="1975" w:type="dxa"/>
            <w:vMerge/>
            <w:tcBorders>
              <w:top w:val="nil"/>
              <w:left w:val="single" w:sz="4" w:space="0" w:color="auto"/>
              <w:bottom w:val="single" w:sz="4" w:space="0" w:color="auto"/>
              <w:right w:val="single" w:sz="4" w:space="0" w:color="auto"/>
            </w:tcBorders>
            <w:vAlign w:val="center"/>
            <w:hideMark/>
          </w:tcPr>
          <w:p w:rsidR="00B048F5" w:rsidRPr="00AD4FCE" w:rsidRDefault="00B048F5" w:rsidP="00AD0D89">
            <w:pPr>
              <w:rPr>
                <w:rFonts w:ascii="Garamond" w:eastAsia="Times New Roman" w:hAnsi="Garamond"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state</w:t>
            </w:r>
          </w:p>
        </w:tc>
        <w:tc>
          <w:tcPr>
            <w:tcW w:w="135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Garamond" w:eastAsia="Times New Roman" w:hAnsi="Garamond" w:cs="Times New Roman"/>
                <w:color w:val="000000"/>
              </w:rPr>
            </w:pPr>
            <w:r>
              <w:rPr>
                <w:rFonts w:ascii="Garamond" w:eastAsia="Times New Roman" w:hAnsi="Garamond" w:cs="Times New Roman"/>
                <w:color w:val="000000"/>
              </w:rPr>
              <w:t>.34</w:t>
            </w:r>
          </w:p>
          <w:p w:rsidR="00B048F5" w:rsidRPr="00AD4FCE" w:rsidRDefault="00B048F5" w:rsidP="00B048F5">
            <w:pPr>
              <w:jc w:val="center"/>
              <w:rPr>
                <w:rFonts w:ascii="Garamond" w:eastAsia="Times New Roman" w:hAnsi="Garamond" w:cs="Times New Roman"/>
                <w:color w:val="000000"/>
              </w:rPr>
            </w:pPr>
            <w:r w:rsidRPr="00B048F5">
              <w:rPr>
                <w:rFonts w:ascii="Garamond" w:eastAsia="Times New Roman" w:hAnsi="Garamond" w:cs="Times New Roman"/>
                <w:color w:val="000000"/>
              </w:rPr>
              <w:t>(.199)</w:t>
            </w:r>
          </w:p>
        </w:tc>
        <w:tc>
          <w:tcPr>
            <w:tcW w:w="1761" w:type="dxa"/>
            <w:tcBorders>
              <w:top w:val="nil"/>
              <w:left w:val="nil"/>
              <w:bottom w:val="single" w:sz="4" w:space="0" w:color="auto"/>
              <w:right w:val="single" w:sz="4" w:space="0" w:color="auto"/>
            </w:tcBorders>
            <w:shd w:val="clear" w:color="auto" w:fill="auto"/>
            <w:vAlign w:val="bottom"/>
            <w:hideMark/>
          </w:tcPr>
          <w:p w:rsidR="00B048F5" w:rsidRPr="00AD4FCE" w:rsidRDefault="00B048F5" w:rsidP="00AD0D89">
            <w:pPr>
              <w:jc w:val="center"/>
              <w:rPr>
                <w:rFonts w:ascii="Garamond" w:eastAsia="Times New Roman" w:hAnsi="Garamond" w:cs="Times New Roman"/>
                <w:color w:val="000000"/>
              </w:rPr>
            </w:pPr>
            <w:r w:rsidRPr="00AD4FCE">
              <w:rPr>
                <w:rFonts w:ascii="Garamond" w:eastAsia="Times New Roman" w:hAnsi="Garamond" w:cs="Times New Roman"/>
                <w:color w:val="000000"/>
              </w:rPr>
              <w:t>-</w:t>
            </w:r>
          </w:p>
        </w:tc>
        <w:tc>
          <w:tcPr>
            <w:tcW w:w="1363"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Garamond" w:eastAsia="Times New Roman" w:hAnsi="Garamond" w:cs="Times New Roman"/>
                <w:color w:val="000000"/>
              </w:rPr>
            </w:pPr>
            <w:r>
              <w:rPr>
                <w:rFonts w:ascii="Garamond" w:eastAsia="Times New Roman" w:hAnsi="Garamond" w:cs="Times New Roman"/>
                <w:color w:val="000000"/>
              </w:rPr>
              <w:t>.01</w:t>
            </w:r>
          </w:p>
          <w:p w:rsidR="00B048F5" w:rsidRPr="00AD4FCE" w:rsidRDefault="00B048F5" w:rsidP="00B048F5">
            <w:pPr>
              <w:jc w:val="center"/>
              <w:rPr>
                <w:rFonts w:ascii="Garamond" w:eastAsia="Times New Roman" w:hAnsi="Garamond" w:cs="Times New Roman"/>
                <w:color w:val="000000"/>
              </w:rPr>
            </w:pPr>
            <w:r w:rsidRPr="00B048F5">
              <w:rPr>
                <w:rFonts w:ascii="Garamond" w:eastAsia="Times New Roman" w:hAnsi="Garamond" w:cs="Times New Roman"/>
                <w:color w:val="000000"/>
              </w:rPr>
              <w:t>(.959)</w:t>
            </w:r>
          </w:p>
        </w:tc>
      </w:tr>
      <w:tr w:rsidR="00B048F5" w:rsidRPr="00AD4FCE" w:rsidTr="00AD0D89">
        <w:trPr>
          <w:trHeight w:val="600"/>
        </w:trPr>
        <w:tc>
          <w:tcPr>
            <w:tcW w:w="1975" w:type="dxa"/>
            <w:vMerge/>
            <w:tcBorders>
              <w:top w:val="nil"/>
              <w:left w:val="single" w:sz="4" w:space="0" w:color="auto"/>
              <w:bottom w:val="single" w:sz="4" w:space="0" w:color="auto"/>
              <w:right w:val="single" w:sz="4" w:space="0" w:color="auto"/>
            </w:tcBorders>
            <w:vAlign w:val="center"/>
            <w:hideMark/>
          </w:tcPr>
          <w:p w:rsidR="00B048F5" w:rsidRPr="00AD4FCE" w:rsidRDefault="00B048F5" w:rsidP="00AD0D89">
            <w:pPr>
              <w:rPr>
                <w:rFonts w:ascii="Garamond" w:eastAsia="Times New Roman" w:hAnsi="Garamond" w:cs="Times New Roman"/>
                <w:b/>
                <w:bCs/>
                <w:color w:val="000000"/>
              </w:rPr>
            </w:pPr>
          </w:p>
        </w:tc>
        <w:tc>
          <w:tcPr>
            <w:tcW w:w="1170" w:type="dxa"/>
            <w:tcBorders>
              <w:top w:val="nil"/>
              <w:left w:val="nil"/>
              <w:bottom w:val="single" w:sz="4" w:space="0" w:color="auto"/>
              <w:right w:val="single" w:sz="4" w:space="0" w:color="auto"/>
            </w:tcBorders>
            <w:shd w:val="clear" w:color="auto" w:fill="auto"/>
            <w:noWrap/>
            <w:vAlign w:val="bottom"/>
            <w:hideMark/>
          </w:tcPr>
          <w:p w:rsidR="00B048F5" w:rsidRPr="00AD4FCE" w:rsidRDefault="00B048F5" w:rsidP="00AD0D89">
            <w:pPr>
              <w:jc w:val="center"/>
              <w:rPr>
                <w:rFonts w:ascii="Garamond" w:eastAsia="Times New Roman" w:hAnsi="Garamond" w:cs="Times New Roman"/>
                <w:b/>
                <w:bCs/>
                <w:color w:val="000000"/>
              </w:rPr>
            </w:pPr>
            <w:r w:rsidRPr="00AD4FCE">
              <w:rPr>
                <w:rFonts w:ascii="Garamond" w:eastAsia="Times New Roman" w:hAnsi="Garamond" w:cs="Times New Roman"/>
                <w:b/>
                <w:bCs/>
                <w:color w:val="000000"/>
              </w:rPr>
              <w:t>city</w:t>
            </w:r>
          </w:p>
        </w:tc>
        <w:tc>
          <w:tcPr>
            <w:tcW w:w="1350"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Garamond" w:eastAsia="Times New Roman" w:hAnsi="Garamond" w:cs="Times New Roman"/>
                <w:color w:val="000000"/>
              </w:rPr>
            </w:pPr>
            <w:r>
              <w:rPr>
                <w:rFonts w:ascii="Garamond" w:eastAsia="Times New Roman" w:hAnsi="Garamond" w:cs="Times New Roman"/>
                <w:color w:val="000000"/>
              </w:rPr>
              <w:t>-.51</w:t>
            </w:r>
            <w:r w:rsidR="00B048F5">
              <w:rPr>
                <w:rFonts w:ascii="Garamond" w:eastAsia="Times New Roman" w:hAnsi="Garamond" w:cs="Times New Roman"/>
                <w:color w:val="000000"/>
              </w:rPr>
              <w:t>*</w:t>
            </w:r>
          </w:p>
          <w:p w:rsidR="00B048F5" w:rsidRPr="00AD4FCE" w:rsidRDefault="00B048F5" w:rsidP="00B048F5">
            <w:pPr>
              <w:jc w:val="center"/>
              <w:rPr>
                <w:rFonts w:ascii="Garamond" w:eastAsia="Times New Roman" w:hAnsi="Garamond" w:cs="Times New Roman"/>
                <w:color w:val="000000"/>
              </w:rPr>
            </w:pPr>
            <w:r w:rsidRPr="00B048F5">
              <w:rPr>
                <w:rFonts w:ascii="Garamond" w:eastAsia="Times New Roman" w:hAnsi="Garamond" w:cs="Times New Roman"/>
                <w:color w:val="000000"/>
              </w:rPr>
              <w:t>(.045)</w:t>
            </w:r>
          </w:p>
        </w:tc>
        <w:tc>
          <w:tcPr>
            <w:tcW w:w="1761" w:type="dxa"/>
            <w:tcBorders>
              <w:top w:val="nil"/>
              <w:left w:val="nil"/>
              <w:bottom w:val="single" w:sz="4" w:space="0" w:color="auto"/>
              <w:right w:val="single" w:sz="4" w:space="0" w:color="auto"/>
            </w:tcBorders>
            <w:shd w:val="clear" w:color="auto" w:fill="auto"/>
            <w:vAlign w:val="bottom"/>
            <w:hideMark/>
          </w:tcPr>
          <w:p w:rsidR="00B048F5" w:rsidRPr="00B048F5" w:rsidRDefault="00103FFF" w:rsidP="00B048F5">
            <w:pPr>
              <w:jc w:val="center"/>
              <w:rPr>
                <w:rFonts w:ascii="Garamond" w:eastAsia="Times New Roman" w:hAnsi="Garamond" w:cs="Times New Roman"/>
                <w:color w:val="000000"/>
              </w:rPr>
            </w:pPr>
            <w:r>
              <w:rPr>
                <w:rFonts w:ascii="Garamond" w:eastAsia="Times New Roman" w:hAnsi="Garamond" w:cs="Times New Roman"/>
                <w:color w:val="000000"/>
              </w:rPr>
              <w:t>.01</w:t>
            </w:r>
          </w:p>
          <w:p w:rsidR="00B048F5" w:rsidRPr="00AD4FCE" w:rsidRDefault="00B048F5" w:rsidP="00B048F5">
            <w:pPr>
              <w:jc w:val="center"/>
              <w:rPr>
                <w:rFonts w:ascii="Garamond" w:eastAsia="Times New Roman" w:hAnsi="Garamond" w:cs="Times New Roman"/>
                <w:color w:val="000000"/>
              </w:rPr>
            </w:pPr>
            <w:r w:rsidRPr="00B048F5">
              <w:rPr>
                <w:rFonts w:ascii="Garamond" w:eastAsia="Times New Roman" w:hAnsi="Garamond" w:cs="Times New Roman"/>
                <w:color w:val="000000"/>
              </w:rPr>
              <w:t>(.959)</w:t>
            </w:r>
          </w:p>
        </w:tc>
        <w:tc>
          <w:tcPr>
            <w:tcW w:w="1363" w:type="dxa"/>
            <w:tcBorders>
              <w:top w:val="nil"/>
              <w:left w:val="nil"/>
              <w:bottom w:val="single" w:sz="4" w:space="0" w:color="auto"/>
              <w:right w:val="single" w:sz="4" w:space="0" w:color="auto"/>
            </w:tcBorders>
            <w:shd w:val="clear" w:color="auto" w:fill="auto"/>
            <w:vAlign w:val="bottom"/>
            <w:hideMark/>
          </w:tcPr>
          <w:p w:rsidR="00B048F5" w:rsidRPr="00AD4FCE" w:rsidRDefault="00B048F5" w:rsidP="00AD0D89">
            <w:pPr>
              <w:jc w:val="center"/>
              <w:rPr>
                <w:rFonts w:ascii="Garamond" w:eastAsia="Times New Roman" w:hAnsi="Garamond" w:cs="Times New Roman"/>
                <w:color w:val="000000"/>
              </w:rPr>
            </w:pPr>
            <w:r w:rsidRPr="00AD4FCE">
              <w:rPr>
                <w:rFonts w:ascii="Garamond" w:eastAsia="Times New Roman" w:hAnsi="Garamond" w:cs="Times New Roman"/>
                <w:color w:val="000000"/>
              </w:rPr>
              <w:t>-</w:t>
            </w:r>
          </w:p>
        </w:tc>
      </w:tr>
    </w:tbl>
    <w:p w:rsidR="00DE22CE" w:rsidRDefault="00103FFF" w:rsidP="00103FFF">
      <w:pPr>
        <w:pStyle w:val="Caption"/>
        <w:rPr>
          <w:rFonts w:ascii="Garamond" w:hAnsi="Garamond"/>
          <w:sz w:val="24"/>
          <w:szCs w:val="24"/>
        </w:rPr>
      </w:pPr>
      <w:r>
        <w:t xml:space="preserve">Table 15: </w:t>
      </w:r>
      <w:r w:rsidRPr="00AD4FCE">
        <w:t>Central PMN</w:t>
      </w:r>
    </w:p>
    <w:p w:rsidR="00103FFF" w:rsidRPr="00103FFF" w:rsidRDefault="00103FFF" w:rsidP="00103FFF">
      <w:pPr>
        <w:rPr>
          <w:rFonts w:ascii="Garamond" w:hAnsi="Garamond"/>
          <w:sz w:val="24"/>
          <w:szCs w:val="24"/>
          <w:lang w:eastAsia="en-US"/>
        </w:rPr>
      </w:pPr>
      <w:r w:rsidRPr="00103FFF">
        <w:rPr>
          <w:rFonts w:ascii="Garamond" w:hAnsi="Garamond"/>
          <w:sz w:val="24"/>
          <w:szCs w:val="24"/>
          <w:lang w:eastAsia="en-US"/>
        </w:rPr>
        <w:t xml:space="preserve">Table 15 is for a </w:t>
      </w:r>
      <w:r>
        <w:rPr>
          <w:rFonts w:ascii="Garamond" w:hAnsi="Garamond"/>
          <w:sz w:val="24"/>
          <w:szCs w:val="24"/>
          <w:lang w:eastAsia="en-US"/>
        </w:rPr>
        <w:t xml:space="preserve">much </w:t>
      </w:r>
      <w:r w:rsidRPr="00103FFF">
        <w:rPr>
          <w:rFonts w:ascii="Garamond" w:hAnsi="Garamond"/>
          <w:sz w:val="24"/>
          <w:szCs w:val="24"/>
          <w:lang w:eastAsia="en-US"/>
        </w:rPr>
        <w:t>shorter and earlier time period than is used for Table 8.  For this early time period the state</w:t>
      </w:r>
      <w:r w:rsidR="00327872">
        <w:rPr>
          <w:rFonts w:ascii="Garamond" w:hAnsi="Garamond"/>
          <w:sz w:val="24"/>
          <w:szCs w:val="24"/>
          <w:lang w:eastAsia="en-US"/>
        </w:rPr>
        <w:t>/city partial correlation is -.01</w:t>
      </w:r>
      <w:r w:rsidRPr="00103FFF">
        <w:rPr>
          <w:rFonts w:ascii="Garamond" w:hAnsi="Garamond"/>
          <w:sz w:val="24"/>
          <w:szCs w:val="24"/>
          <w:lang w:eastAsia="en-US"/>
        </w:rPr>
        <w:t xml:space="preserve"> whereas for the whole time period for which we have estimates show</w:t>
      </w:r>
      <w:r w:rsidR="00327872">
        <w:rPr>
          <w:rFonts w:ascii="Garamond" w:hAnsi="Garamond"/>
          <w:sz w:val="24"/>
          <w:szCs w:val="24"/>
          <w:lang w:eastAsia="en-US"/>
        </w:rPr>
        <w:t>n in Table 8 the correlation .51</w:t>
      </w:r>
      <w:r w:rsidRPr="00103FFF">
        <w:rPr>
          <w:rFonts w:ascii="Garamond" w:hAnsi="Garamond"/>
          <w:sz w:val="24"/>
          <w:szCs w:val="24"/>
          <w:lang w:eastAsia="en-US"/>
        </w:rPr>
        <w:t xml:space="preserve"> and is statistically significant.  This means that there are either  important period differences, or that the estimates for the earl</w:t>
      </w:r>
      <w:r w:rsidR="00327872">
        <w:rPr>
          <w:rFonts w:ascii="Garamond" w:hAnsi="Garamond"/>
          <w:sz w:val="24"/>
          <w:szCs w:val="24"/>
          <w:lang w:eastAsia="en-US"/>
        </w:rPr>
        <w:t xml:space="preserve">ier time periods are unreliable or some combination of the two. </w:t>
      </w:r>
      <w:r w:rsidRPr="00103FFF">
        <w:rPr>
          <w:rFonts w:ascii="Garamond" w:hAnsi="Garamond"/>
          <w:sz w:val="24"/>
          <w:szCs w:val="24"/>
          <w:lang w:eastAsia="en-US"/>
        </w:rPr>
        <w:t xml:space="preserve"> The partial correlation between power </w:t>
      </w:r>
      <w:r w:rsidR="006501BB">
        <w:rPr>
          <w:rFonts w:ascii="Garamond" w:hAnsi="Garamond"/>
          <w:sz w:val="24"/>
          <w:szCs w:val="24"/>
          <w:lang w:eastAsia="en-US"/>
        </w:rPr>
        <w:t>configuration</w:t>
      </w:r>
      <w:r w:rsidRPr="00103FFF">
        <w:rPr>
          <w:rFonts w:ascii="Garamond" w:hAnsi="Garamond"/>
          <w:sz w:val="24"/>
          <w:szCs w:val="24"/>
          <w:lang w:eastAsia="en-US"/>
        </w:rPr>
        <w:t xml:space="preserve"> and city in Table 15 is -.51, whereas the partial correlation between powe</w:t>
      </w:r>
      <w:r w:rsidR="00327872">
        <w:rPr>
          <w:rFonts w:ascii="Garamond" w:hAnsi="Garamond"/>
          <w:sz w:val="24"/>
          <w:szCs w:val="24"/>
          <w:lang w:eastAsia="en-US"/>
        </w:rPr>
        <w:t xml:space="preserve">r </w:t>
      </w:r>
      <w:r w:rsidR="006501BB">
        <w:rPr>
          <w:rFonts w:ascii="Garamond" w:hAnsi="Garamond"/>
          <w:sz w:val="24"/>
          <w:szCs w:val="24"/>
          <w:lang w:eastAsia="en-US"/>
        </w:rPr>
        <w:t>configuration</w:t>
      </w:r>
      <w:r w:rsidR="00327872">
        <w:rPr>
          <w:rFonts w:ascii="Garamond" w:hAnsi="Garamond"/>
          <w:sz w:val="24"/>
          <w:szCs w:val="24"/>
          <w:lang w:eastAsia="en-US"/>
        </w:rPr>
        <w:t xml:space="preserve"> and state is .34</w:t>
      </w:r>
      <w:r w:rsidRPr="00103FFF">
        <w:rPr>
          <w:rFonts w:ascii="Garamond" w:hAnsi="Garamond"/>
          <w:sz w:val="24"/>
          <w:szCs w:val="24"/>
          <w:lang w:eastAsia="en-US"/>
        </w:rPr>
        <w:t xml:space="preserve">.  </w:t>
      </w:r>
    </w:p>
    <w:p w:rsidR="00103FFF" w:rsidRDefault="00103FFF" w:rsidP="00103FFF">
      <w:pPr>
        <w:rPr>
          <w:rFonts w:ascii="Garamond" w:hAnsi="Garamond"/>
          <w:sz w:val="24"/>
          <w:szCs w:val="24"/>
          <w:lang w:eastAsia="en-US"/>
        </w:rPr>
      </w:pPr>
      <w:r w:rsidRPr="00103FFF">
        <w:rPr>
          <w:rFonts w:ascii="Garamond" w:hAnsi="Garamond"/>
          <w:sz w:val="24"/>
          <w:szCs w:val="24"/>
          <w:lang w:eastAsia="en-US"/>
        </w:rPr>
        <w:tab/>
        <w:t>The partial</w:t>
      </w:r>
      <w:r w:rsidR="00C1198D">
        <w:rPr>
          <w:rFonts w:ascii="Garamond" w:hAnsi="Garamond"/>
          <w:sz w:val="24"/>
          <w:szCs w:val="24"/>
          <w:lang w:eastAsia="en-US"/>
        </w:rPr>
        <w:t xml:space="preserve"> time series</w:t>
      </w:r>
      <w:r w:rsidRPr="00103FFF">
        <w:rPr>
          <w:rFonts w:ascii="Garamond" w:hAnsi="Garamond"/>
          <w:sz w:val="24"/>
          <w:szCs w:val="24"/>
          <w:lang w:eastAsia="en-US"/>
        </w:rPr>
        <w:t xml:space="preserve"> correlation results generally confirm the hypothesis that changes in the sizes of cities and states are contiguous in time (see Table 16). Both the Egyptian and Mesopotamian PMNs are during the Bronze and Early Iron ages</w:t>
      </w:r>
      <w:r w:rsidR="00213949">
        <w:rPr>
          <w:rFonts w:ascii="Garamond" w:hAnsi="Garamond"/>
          <w:sz w:val="24"/>
          <w:szCs w:val="24"/>
          <w:lang w:eastAsia="en-US"/>
        </w:rPr>
        <w:t>,</w:t>
      </w:r>
      <w:r w:rsidRPr="00103FFF">
        <w:rPr>
          <w:rFonts w:ascii="Garamond" w:hAnsi="Garamond"/>
          <w:sz w:val="24"/>
          <w:szCs w:val="24"/>
          <w:lang w:eastAsia="en-US"/>
        </w:rPr>
        <w:t xml:space="preserve"> when estimates of the sizes of both cities and polities are less reliable</w:t>
      </w:r>
      <w:r w:rsidR="00213949">
        <w:rPr>
          <w:rFonts w:ascii="Garamond" w:hAnsi="Garamond"/>
          <w:sz w:val="24"/>
          <w:szCs w:val="24"/>
          <w:lang w:eastAsia="en-US"/>
        </w:rPr>
        <w:t>.</w:t>
      </w:r>
      <w:r w:rsidR="00BC4CCD">
        <w:rPr>
          <w:rStyle w:val="FootnoteReference"/>
          <w:rFonts w:ascii="Garamond" w:hAnsi="Garamond"/>
          <w:sz w:val="24"/>
          <w:szCs w:val="24"/>
          <w:lang w:eastAsia="en-US"/>
        </w:rPr>
        <w:footnoteReference w:id="21"/>
      </w:r>
      <w:r w:rsidR="00213949">
        <w:rPr>
          <w:rFonts w:ascii="Garamond" w:hAnsi="Garamond"/>
          <w:sz w:val="24"/>
          <w:szCs w:val="24"/>
          <w:lang w:eastAsia="en-US"/>
        </w:rPr>
        <w:t xml:space="preserve"> We</w:t>
      </w:r>
      <w:r w:rsidRPr="00103FFF">
        <w:rPr>
          <w:rFonts w:ascii="Garamond" w:hAnsi="Garamond"/>
          <w:sz w:val="24"/>
          <w:szCs w:val="24"/>
          <w:lang w:eastAsia="en-US"/>
        </w:rPr>
        <w:t xml:space="preserve"> have already remarked that we had to rely on more interpolations for both of these cases. We reduce</w:t>
      </w:r>
      <w:r w:rsidR="00213949">
        <w:rPr>
          <w:rFonts w:ascii="Garamond" w:hAnsi="Garamond"/>
          <w:sz w:val="24"/>
          <w:szCs w:val="24"/>
          <w:lang w:eastAsia="en-US"/>
        </w:rPr>
        <w:t>d</w:t>
      </w:r>
      <w:r w:rsidRPr="00103FFF">
        <w:rPr>
          <w:rFonts w:ascii="Garamond" w:hAnsi="Garamond"/>
          <w:sz w:val="24"/>
          <w:szCs w:val="24"/>
          <w:lang w:eastAsia="en-US"/>
        </w:rPr>
        <w:t xml:space="preserve"> the number of interpolations by using 100 year intervals rather than 50 year intervals</w:t>
      </w:r>
      <w:r w:rsidR="00213949">
        <w:rPr>
          <w:rFonts w:ascii="Garamond" w:hAnsi="Garamond"/>
          <w:sz w:val="24"/>
          <w:szCs w:val="24"/>
          <w:lang w:eastAsia="en-US"/>
        </w:rPr>
        <w:t xml:space="preserve"> which should have reduced the errors</w:t>
      </w:r>
      <w:r w:rsidRPr="00103FFF">
        <w:rPr>
          <w:rFonts w:ascii="Garamond" w:hAnsi="Garamond"/>
          <w:sz w:val="24"/>
          <w:szCs w:val="24"/>
          <w:lang w:eastAsia="en-US"/>
        </w:rPr>
        <w:t xml:space="preserve">. </w:t>
      </w:r>
      <w:r w:rsidRPr="00AD7BE8">
        <w:rPr>
          <w:rFonts w:ascii="Garamond" w:hAnsi="Garamond"/>
          <w:sz w:val="24"/>
          <w:szCs w:val="24"/>
          <w:lang w:eastAsia="en-US"/>
        </w:rPr>
        <w:t>The state/city partial correlations are positive for all of our cases</w:t>
      </w:r>
      <w:r w:rsidR="00AD7BE8" w:rsidRPr="00AD7BE8">
        <w:rPr>
          <w:rFonts w:ascii="Garamond" w:hAnsi="Garamond"/>
          <w:sz w:val="24"/>
          <w:szCs w:val="24"/>
          <w:lang w:eastAsia="en-US"/>
        </w:rPr>
        <w:t>, but barely so for the East Asian PMN</w:t>
      </w:r>
      <w:r w:rsidRPr="00AD7BE8">
        <w:rPr>
          <w:rFonts w:ascii="Garamond" w:hAnsi="Garamond"/>
          <w:sz w:val="24"/>
          <w:szCs w:val="24"/>
          <w:lang w:eastAsia="en-US"/>
        </w:rPr>
        <w:t>.</w:t>
      </w:r>
      <w:r w:rsidRPr="00103FFF">
        <w:rPr>
          <w:rFonts w:ascii="Garamond" w:hAnsi="Garamond"/>
          <w:sz w:val="24"/>
          <w:szCs w:val="24"/>
          <w:lang w:eastAsia="en-US"/>
        </w:rPr>
        <w:t xml:space="preserve"> This </w:t>
      </w:r>
      <w:r w:rsidR="00AD7BE8">
        <w:rPr>
          <w:rFonts w:ascii="Garamond" w:hAnsi="Garamond"/>
          <w:sz w:val="24"/>
          <w:szCs w:val="24"/>
          <w:lang w:eastAsia="en-US"/>
        </w:rPr>
        <w:t>partly confirms our hypothesis</w:t>
      </w:r>
      <w:r w:rsidRPr="00103FFF">
        <w:rPr>
          <w:rFonts w:ascii="Garamond" w:hAnsi="Garamond"/>
          <w:sz w:val="24"/>
          <w:szCs w:val="24"/>
          <w:lang w:eastAsia="en-US"/>
        </w:rPr>
        <w:t xml:space="preserve"> that these two a</w:t>
      </w:r>
      <w:r w:rsidR="00AD7BE8">
        <w:rPr>
          <w:rFonts w:ascii="Garamond" w:hAnsi="Garamond"/>
          <w:sz w:val="24"/>
          <w:szCs w:val="24"/>
          <w:lang w:eastAsia="en-US"/>
        </w:rPr>
        <w:t>spects of size cause each other b</w:t>
      </w:r>
      <w:r w:rsidRPr="00103FFF">
        <w:rPr>
          <w:rFonts w:ascii="Garamond" w:hAnsi="Garamond"/>
          <w:sz w:val="24"/>
          <w:szCs w:val="24"/>
          <w:lang w:eastAsia="en-US"/>
        </w:rPr>
        <w:t>ut it does not tell us which of these causes is larger. For that we will turn to tests of Granger causality.</w:t>
      </w:r>
      <w:r w:rsidR="00AD7BE8">
        <w:rPr>
          <w:rFonts w:ascii="Garamond" w:hAnsi="Garamond"/>
          <w:sz w:val="24"/>
          <w:szCs w:val="24"/>
          <w:lang w:eastAsia="en-US"/>
        </w:rPr>
        <w:t xml:space="preserve"> We also do not know why the interaction between city and state sizes is so weak in East Asia.</w:t>
      </w:r>
      <w:r w:rsidR="00A25C05">
        <w:rPr>
          <w:rFonts w:ascii="Garamond" w:hAnsi="Garamond"/>
          <w:sz w:val="24"/>
          <w:szCs w:val="24"/>
          <w:lang w:eastAsia="en-US"/>
        </w:rPr>
        <w:t xml:space="preserve"> One possibility is the somewhat greater role of non-core marcher states in the process of empire formation in East Asia. It is well-known that horse nomads</w:t>
      </w:r>
      <w:r w:rsidR="00C1198D">
        <w:rPr>
          <w:rFonts w:ascii="Garamond" w:hAnsi="Garamond"/>
          <w:sz w:val="24"/>
          <w:szCs w:val="24"/>
          <w:lang w:eastAsia="en-US"/>
        </w:rPr>
        <w:t xml:space="preserve"> and forest peoples</w:t>
      </w:r>
      <w:r w:rsidR="00A25C05">
        <w:rPr>
          <w:rFonts w:ascii="Garamond" w:hAnsi="Garamond"/>
          <w:sz w:val="24"/>
          <w:szCs w:val="24"/>
          <w:lang w:eastAsia="en-US"/>
        </w:rPr>
        <w:t xml:space="preserve"> despise</w:t>
      </w:r>
      <w:r w:rsidR="00C1198D">
        <w:rPr>
          <w:rFonts w:ascii="Garamond" w:hAnsi="Garamond"/>
          <w:sz w:val="24"/>
          <w:szCs w:val="24"/>
          <w:lang w:eastAsia="en-US"/>
        </w:rPr>
        <w:t>d cities and could</w:t>
      </w:r>
      <w:r w:rsidR="00A25C05">
        <w:rPr>
          <w:rFonts w:ascii="Garamond" w:hAnsi="Garamond"/>
          <w:sz w:val="24"/>
          <w:szCs w:val="24"/>
          <w:lang w:eastAsia="en-US"/>
        </w:rPr>
        <w:t xml:space="preserve"> only reinvent themselves to become an urban ruling class with great effort. </w:t>
      </w:r>
    </w:p>
    <w:tbl>
      <w:tblPr>
        <w:tblStyle w:val="TableGrid"/>
        <w:tblW w:w="7721" w:type="dxa"/>
        <w:tblLook w:val="04A0" w:firstRow="1" w:lastRow="0" w:firstColumn="1" w:lastColumn="0" w:noHBand="0" w:noVBand="1"/>
      </w:tblPr>
      <w:tblGrid>
        <w:gridCol w:w="1266"/>
        <w:gridCol w:w="1668"/>
        <w:gridCol w:w="1050"/>
        <w:gridCol w:w="1831"/>
        <w:gridCol w:w="1906"/>
      </w:tblGrid>
      <w:tr w:rsidR="00B62AFC" w:rsidRPr="00081EF1" w:rsidTr="00321C22">
        <w:trPr>
          <w:trHeight w:val="827"/>
        </w:trPr>
        <w:tc>
          <w:tcPr>
            <w:tcW w:w="1266" w:type="dxa"/>
          </w:tcPr>
          <w:p w:rsidR="00B62AFC" w:rsidRPr="00081EF1" w:rsidRDefault="00B62AFC" w:rsidP="00AD0D89">
            <w:pPr>
              <w:spacing w:before="240"/>
              <w:jc w:val="center"/>
              <w:rPr>
                <w:rFonts w:ascii="Garamond" w:hAnsi="Garamond"/>
                <w:b/>
                <w:sz w:val="20"/>
                <w:szCs w:val="20"/>
              </w:rPr>
            </w:pPr>
            <w:r w:rsidRPr="00081EF1">
              <w:rPr>
                <w:rFonts w:ascii="Garamond" w:hAnsi="Garamond"/>
                <w:b/>
                <w:sz w:val="20"/>
                <w:szCs w:val="20"/>
              </w:rPr>
              <w:t>PMN</w:t>
            </w:r>
          </w:p>
        </w:tc>
        <w:tc>
          <w:tcPr>
            <w:tcW w:w="1668" w:type="dxa"/>
          </w:tcPr>
          <w:p w:rsidR="00B62AFC" w:rsidRPr="00081EF1" w:rsidRDefault="00B62AFC" w:rsidP="00AD0D89">
            <w:pPr>
              <w:spacing w:before="240"/>
              <w:jc w:val="center"/>
              <w:rPr>
                <w:rFonts w:ascii="Garamond" w:hAnsi="Garamond"/>
                <w:b/>
                <w:sz w:val="20"/>
                <w:szCs w:val="20"/>
              </w:rPr>
            </w:pPr>
            <w:r w:rsidRPr="00081EF1">
              <w:rPr>
                <w:rFonts w:ascii="Garamond" w:hAnsi="Garamond"/>
                <w:b/>
                <w:sz w:val="20"/>
                <w:szCs w:val="20"/>
              </w:rPr>
              <w:t>Time period</w:t>
            </w:r>
          </w:p>
        </w:tc>
        <w:tc>
          <w:tcPr>
            <w:tcW w:w="1050" w:type="dxa"/>
          </w:tcPr>
          <w:p w:rsidR="00B62AFC" w:rsidRDefault="00B62AFC" w:rsidP="00AD0D89">
            <w:pPr>
              <w:spacing w:before="240"/>
              <w:jc w:val="center"/>
              <w:rPr>
                <w:rFonts w:ascii="Garamond" w:hAnsi="Garamond"/>
                <w:b/>
                <w:sz w:val="20"/>
                <w:szCs w:val="20"/>
              </w:rPr>
            </w:pPr>
            <w:r w:rsidRPr="00081EF1">
              <w:rPr>
                <w:rFonts w:ascii="Garamond" w:hAnsi="Garamond"/>
                <w:b/>
                <w:sz w:val="20"/>
                <w:szCs w:val="20"/>
              </w:rPr>
              <w:t>State/city</w:t>
            </w:r>
          </w:p>
          <w:p w:rsidR="00B62AFC" w:rsidRPr="00081EF1" w:rsidRDefault="00B62AFC" w:rsidP="00AD0D89">
            <w:pPr>
              <w:spacing w:before="240"/>
              <w:jc w:val="center"/>
              <w:rPr>
                <w:rFonts w:ascii="Garamond" w:hAnsi="Garamond"/>
                <w:b/>
                <w:sz w:val="20"/>
                <w:szCs w:val="20"/>
              </w:rPr>
            </w:pPr>
            <w:r>
              <w:rPr>
                <w:rFonts w:ascii="Garamond" w:hAnsi="Garamond"/>
                <w:b/>
                <w:sz w:val="20"/>
                <w:szCs w:val="20"/>
              </w:rPr>
              <w:t>(whole period)</w:t>
            </w:r>
          </w:p>
        </w:tc>
        <w:tc>
          <w:tcPr>
            <w:tcW w:w="1831" w:type="dxa"/>
          </w:tcPr>
          <w:p w:rsidR="00B62AFC" w:rsidRDefault="00B62AFC" w:rsidP="00AD0D89">
            <w:pPr>
              <w:spacing w:before="240"/>
              <w:jc w:val="center"/>
              <w:rPr>
                <w:rFonts w:ascii="Garamond" w:hAnsi="Garamond"/>
                <w:b/>
                <w:sz w:val="20"/>
                <w:szCs w:val="20"/>
              </w:rPr>
            </w:pPr>
            <w:proofErr w:type="spellStart"/>
            <w:r w:rsidRPr="00081EF1">
              <w:rPr>
                <w:rFonts w:ascii="Garamond" w:hAnsi="Garamond"/>
                <w:b/>
                <w:sz w:val="20"/>
                <w:szCs w:val="20"/>
              </w:rPr>
              <w:t>Powcon</w:t>
            </w:r>
            <w:proofErr w:type="spellEnd"/>
            <w:r w:rsidRPr="00081EF1">
              <w:rPr>
                <w:rFonts w:ascii="Garamond" w:hAnsi="Garamond"/>
                <w:b/>
                <w:sz w:val="20"/>
                <w:szCs w:val="20"/>
              </w:rPr>
              <w:t>/city</w:t>
            </w:r>
          </w:p>
          <w:p w:rsidR="00B62AFC" w:rsidRPr="00081EF1" w:rsidRDefault="00B62AFC" w:rsidP="00AD0D89">
            <w:pPr>
              <w:spacing w:before="240"/>
              <w:rPr>
                <w:rFonts w:ascii="Garamond" w:hAnsi="Garamond"/>
                <w:b/>
                <w:sz w:val="20"/>
                <w:szCs w:val="20"/>
              </w:rPr>
            </w:pPr>
            <w:r>
              <w:rPr>
                <w:rFonts w:ascii="Garamond" w:hAnsi="Garamond"/>
                <w:b/>
                <w:sz w:val="20"/>
                <w:szCs w:val="20"/>
              </w:rPr>
              <w:t>(shorter  period)</w:t>
            </w:r>
          </w:p>
        </w:tc>
        <w:tc>
          <w:tcPr>
            <w:tcW w:w="1906" w:type="dxa"/>
          </w:tcPr>
          <w:p w:rsidR="00B62AFC" w:rsidRDefault="00B62AFC" w:rsidP="00AD0D89">
            <w:pPr>
              <w:spacing w:before="240"/>
              <w:jc w:val="center"/>
              <w:rPr>
                <w:rFonts w:ascii="Garamond" w:hAnsi="Garamond"/>
                <w:b/>
                <w:sz w:val="20"/>
                <w:szCs w:val="20"/>
              </w:rPr>
            </w:pPr>
            <w:proofErr w:type="spellStart"/>
            <w:r w:rsidRPr="00081EF1">
              <w:rPr>
                <w:rFonts w:ascii="Garamond" w:hAnsi="Garamond"/>
                <w:b/>
                <w:sz w:val="20"/>
                <w:szCs w:val="20"/>
              </w:rPr>
              <w:t>Powcon</w:t>
            </w:r>
            <w:proofErr w:type="spellEnd"/>
            <w:r w:rsidRPr="00081EF1">
              <w:rPr>
                <w:rFonts w:ascii="Garamond" w:hAnsi="Garamond"/>
                <w:b/>
                <w:sz w:val="20"/>
                <w:szCs w:val="20"/>
              </w:rPr>
              <w:t>/state</w:t>
            </w:r>
          </w:p>
          <w:p w:rsidR="00B62AFC" w:rsidRPr="00081EF1" w:rsidRDefault="00B62AFC" w:rsidP="00AD0D89">
            <w:pPr>
              <w:spacing w:before="240"/>
              <w:jc w:val="center"/>
              <w:rPr>
                <w:rFonts w:ascii="Garamond" w:hAnsi="Garamond"/>
                <w:b/>
                <w:sz w:val="20"/>
                <w:szCs w:val="20"/>
              </w:rPr>
            </w:pPr>
            <w:r>
              <w:rPr>
                <w:rFonts w:ascii="Garamond" w:hAnsi="Garamond"/>
                <w:b/>
                <w:sz w:val="20"/>
                <w:szCs w:val="20"/>
              </w:rPr>
              <w:t>(shorter period</w:t>
            </w:r>
          </w:p>
        </w:tc>
      </w:tr>
      <w:tr w:rsidR="00B62AFC" w:rsidRPr="00081EF1" w:rsidTr="00AD0D89">
        <w:trPr>
          <w:trHeight w:val="527"/>
        </w:trPr>
        <w:tc>
          <w:tcPr>
            <w:tcW w:w="1266" w:type="dxa"/>
          </w:tcPr>
          <w:p w:rsidR="00B62AFC" w:rsidRPr="00081EF1" w:rsidRDefault="00B62AFC" w:rsidP="00AD0D89">
            <w:pPr>
              <w:spacing w:before="240"/>
              <w:jc w:val="center"/>
              <w:rPr>
                <w:rFonts w:ascii="Garamond" w:hAnsi="Garamond"/>
                <w:sz w:val="20"/>
                <w:szCs w:val="20"/>
              </w:rPr>
            </w:pPr>
            <w:r w:rsidRPr="00081EF1">
              <w:rPr>
                <w:rFonts w:ascii="Garamond" w:hAnsi="Garamond"/>
                <w:sz w:val="20"/>
                <w:szCs w:val="20"/>
              </w:rPr>
              <w:t>Mesopotamia</w:t>
            </w:r>
          </w:p>
        </w:tc>
        <w:tc>
          <w:tcPr>
            <w:tcW w:w="1668" w:type="dxa"/>
          </w:tcPr>
          <w:p w:rsidR="00B62AFC" w:rsidRPr="00081EF1" w:rsidRDefault="00B62AFC" w:rsidP="00AD0D89">
            <w:pPr>
              <w:spacing w:before="240"/>
              <w:rPr>
                <w:rFonts w:ascii="Garamond" w:hAnsi="Garamond"/>
                <w:sz w:val="20"/>
                <w:szCs w:val="20"/>
              </w:rPr>
            </w:pPr>
            <w:r w:rsidRPr="00081EF1">
              <w:rPr>
                <w:rFonts w:ascii="Garamond" w:hAnsi="Garamond"/>
                <w:sz w:val="20"/>
                <w:szCs w:val="20"/>
              </w:rPr>
              <w:t xml:space="preserve">4500-1500 </w:t>
            </w:r>
            <w:proofErr w:type="spellStart"/>
            <w:r w:rsidRPr="00081EF1">
              <w:rPr>
                <w:rFonts w:ascii="Garamond" w:hAnsi="Garamond"/>
                <w:sz w:val="20"/>
                <w:szCs w:val="20"/>
              </w:rPr>
              <w:t>bce</w:t>
            </w:r>
            <w:proofErr w:type="spellEnd"/>
          </w:p>
        </w:tc>
        <w:tc>
          <w:tcPr>
            <w:tcW w:w="1050" w:type="dxa"/>
          </w:tcPr>
          <w:p w:rsidR="00B62AFC" w:rsidRPr="00081EF1" w:rsidRDefault="004874A3" w:rsidP="00AD0D89">
            <w:pPr>
              <w:spacing w:before="240"/>
              <w:jc w:val="center"/>
              <w:rPr>
                <w:rFonts w:ascii="Garamond" w:hAnsi="Garamond"/>
                <w:sz w:val="20"/>
                <w:szCs w:val="20"/>
              </w:rPr>
            </w:pPr>
            <w:r w:rsidRPr="004874A3">
              <w:rPr>
                <w:rFonts w:ascii="Garamond" w:hAnsi="Garamond"/>
                <w:sz w:val="20"/>
                <w:szCs w:val="20"/>
              </w:rPr>
              <w:t>0.58</w:t>
            </w:r>
          </w:p>
        </w:tc>
        <w:tc>
          <w:tcPr>
            <w:tcW w:w="1831"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.45</w:t>
            </w:r>
          </w:p>
        </w:tc>
        <w:tc>
          <w:tcPr>
            <w:tcW w:w="1906"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.16</w:t>
            </w:r>
          </w:p>
        </w:tc>
      </w:tr>
      <w:tr w:rsidR="00B62AFC" w:rsidRPr="00081EF1" w:rsidTr="00AD0D89">
        <w:trPr>
          <w:trHeight w:val="527"/>
        </w:trPr>
        <w:tc>
          <w:tcPr>
            <w:tcW w:w="1266" w:type="dxa"/>
          </w:tcPr>
          <w:p w:rsidR="00B62AFC" w:rsidRPr="00081EF1" w:rsidRDefault="00B62AFC" w:rsidP="00AD0D89">
            <w:pPr>
              <w:spacing w:before="240"/>
              <w:jc w:val="center"/>
              <w:rPr>
                <w:rFonts w:ascii="Garamond" w:hAnsi="Garamond"/>
                <w:sz w:val="20"/>
                <w:szCs w:val="20"/>
              </w:rPr>
            </w:pPr>
            <w:r w:rsidRPr="00081EF1">
              <w:rPr>
                <w:rFonts w:ascii="Garamond" w:hAnsi="Garamond"/>
                <w:sz w:val="20"/>
                <w:szCs w:val="20"/>
              </w:rPr>
              <w:t>Egypt</w:t>
            </w:r>
          </w:p>
        </w:tc>
        <w:tc>
          <w:tcPr>
            <w:tcW w:w="1668" w:type="dxa"/>
          </w:tcPr>
          <w:p w:rsidR="00B62AFC" w:rsidRPr="00081EF1" w:rsidRDefault="00B62AFC" w:rsidP="00AD0D89">
            <w:pPr>
              <w:spacing w:before="240"/>
              <w:rPr>
                <w:rFonts w:ascii="Garamond" w:hAnsi="Garamond"/>
                <w:sz w:val="20"/>
                <w:szCs w:val="20"/>
              </w:rPr>
            </w:pPr>
            <w:r w:rsidRPr="00081EF1">
              <w:rPr>
                <w:rFonts w:ascii="Garamond" w:hAnsi="Garamond"/>
                <w:sz w:val="20"/>
                <w:szCs w:val="20"/>
              </w:rPr>
              <w:t xml:space="preserve">2600-1500 </w:t>
            </w:r>
            <w:proofErr w:type="spellStart"/>
            <w:r w:rsidRPr="00081EF1">
              <w:rPr>
                <w:rFonts w:ascii="Garamond" w:hAnsi="Garamond"/>
                <w:sz w:val="20"/>
                <w:szCs w:val="20"/>
              </w:rPr>
              <w:t>bce</w:t>
            </w:r>
            <w:proofErr w:type="spellEnd"/>
          </w:p>
        </w:tc>
        <w:tc>
          <w:tcPr>
            <w:tcW w:w="1050" w:type="dxa"/>
          </w:tcPr>
          <w:p w:rsidR="00B62AFC" w:rsidRPr="00081EF1" w:rsidRDefault="004E4C8B" w:rsidP="00AD0D89">
            <w:pPr>
              <w:spacing w:before="240"/>
              <w:jc w:val="center"/>
              <w:rPr>
                <w:rFonts w:ascii="Garamond" w:hAnsi="Garamond"/>
                <w:sz w:val="20"/>
                <w:szCs w:val="20"/>
              </w:rPr>
            </w:pPr>
            <w:r>
              <w:rPr>
                <w:rFonts w:ascii="Garamond" w:hAnsi="Garamond"/>
                <w:sz w:val="20"/>
                <w:szCs w:val="20"/>
              </w:rPr>
              <w:t>.41</w:t>
            </w:r>
          </w:p>
        </w:tc>
        <w:tc>
          <w:tcPr>
            <w:tcW w:w="1831" w:type="dxa"/>
          </w:tcPr>
          <w:p w:rsidR="00B62AFC" w:rsidRPr="00081EF1" w:rsidRDefault="004874A3" w:rsidP="00AD0D89">
            <w:pPr>
              <w:spacing w:before="240"/>
              <w:jc w:val="center"/>
              <w:rPr>
                <w:rFonts w:ascii="Garamond" w:hAnsi="Garamond"/>
                <w:sz w:val="20"/>
                <w:szCs w:val="20"/>
              </w:rPr>
            </w:pPr>
            <w:r w:rsidRPr="004874A3">
              <w:rPr>
                <w:rFonts w:ascii="Garamond" w:hAnsi="Garamond"/>
                <w:sz w:val="20"/>
                <w:szCs w:val="20"/>
              </w:rPr>
              <w:t>-</w:t>
            </w:r>
            <w:r>
              <w:rPr>
                <w:rFonts w:ascii="Garamond" w:hAnsi="Garamond"/>
                <w:sz w:val="20"/>
                <w:szCs w:val="20"/>
              </w:rPr>
              <w:t>.</w:t>
            </w:r>
            <w:r w:rsidR="00101DDB">
              <w:rPr>
                <w:rFonts w:ascii="Garamond" w:hAnsi="Garamond"/>
                <w:sz w:val="20"/>
                <w:szCs w:val="20"/>
              </w:rPr>
              <w:t>46</w:t>
            </w:r>
          </w:p>
        </w:tc>
        <w:tc>
          <w:tcPr>
            <w:tcW w:w="1906"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.40</w:t>
            </w:r>
          </w:p>
        </w:tc>
      </w:tr>
      <w:tr w:rsidR="00B62AFC" w:rsidRPr="00081EF1" w:rsidTr="00AD0D89">
        <w:trPr>
          <w:trHeight w:val="705"/>
        </w:trPr>
        <w:tc>
          <w:tcPr>
            <w:tcW w:w="1266" w:type="dxa"/>
          </w:tcPr>
          <w:p w:rsidR="00B62AFC" w:rsidRPr="00081EF1" w:rsidRDefault="00B62AFC" w:rsidP="00AD0D89">
            <w:pPr>
              <w:spacing w:before="240"/>
              <w:jc w:val="center"/>
              <w:rPr>
                <w:rFonts w:ascii="Garamond" w:hAnsi="Garamond"/>
                <w:sz w:val="20"/>
                <w:szCs w:val="20"/>
              </w:rPr>
            </w:pPr>
            <w:r>
              <w:rPr>
                <w:rFonts w:ascii="Garamond" w:hAnsi="Garamond"/>
                <w:sz w:val="20"/>
                <w:szCs w:val="20"/>
              </w:rPr>
              <w:t>South Asia</w:t>
            </w:r>
          </w:p>
        </w:tc>
        <w:tc>
          <w:tcPr>
            <w:tcW w:w="1668" w:type="dxa"/>
          </w:tcPr>
          <w:p w:rsidR="00B62AFC" w:rsidRPr="00081EF1" w:rsidRDefault="00B62AFC" w:rsidP="00AD0D89">
            <w:pPr>
              <w:spacing w:before="240"/>
              <w:rPr>
                <w:rFonts w:ascii="Garamond" w:hAnsi="Garamond"/>
                <w:sz w:val="20"/>
                <w:szCs w:val="20"/>
              </w:rPr>
            </w:pPr>
            <w:r>
              <w:rPr>
                <w:rFonts w:ascii="Garamond" w:hAnsi="Garamond"/>
                <w:sz w:val="20"/>
                <w:szCs w:val="20"/>
              </w:rPr>
              <w:t>600</w:t>
            </w:r>
            <w:r w:rsidRPr="00081EF1">
              <w:rPr>
                <w:rFonts w:ascii="Garamond" w:hAnsi="Garamond"/>
                <w:sz w:val="20"/>
                <w:szCs w:val="20"/>
              </w:rPr>
              <w:t xml:space="preserve"> </w:t>
            </w:r>
            <w:proofErr w:type="spellStart"/>
            <w:r w:rsidRPr="00081EF1">
              <w:rPr>
                <w:rFonts w:ascii="Garamond" w:hAnsi="Garamond"/>
                <w:sz w:val="20"/>
                <w:szCs w:val="20"/>
              </w:rPr>
              <w:t>bce</w:t>
            </w:r>
            <w:proofErr w:type="spellEnd"/>
            <w:r w:rsidRPr="00081EF1">
              <w:rPr>
                <w:rFonts w:ascii="Garamond" w:hAnsi="Garamond"/>
                <w:sz w:val="20"/>
                <w:szCs w:val="20"/>
              </w:rPr>
              <w:t xml:space="preserve">- 1000 </w:t>
            </w:r>
            <w:proofErr w:type="spellStart"/>
            <w:r w:rsidRPr="00081EF1">
              <w:rPr>
                <w:rFonts w:ascii="Garamond" w:hAnsi="Garamond"/>
                <w:sz w:val="20"/>
                <w:szCs w:val="20"/>
              </w:rPr>
              <w:t>ce</w:t>
            </w:r>
            <w:proofErr w:type="spellEnd"/>
          </w:p>
        </w:tc>
        <w:tc>
          <w:tcPr>
            <w:tcW w:w="1050"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.38</w:t>
            </w:r>
            <w:r w:rsidR="004874A3" w:rsidRPr="004874A3">
              <w:rPr>
                <w:rFonts w:ascii="Garamond" w:hAnsi="Garamond"/>
                <w:sz w:val="20"/>
                <w:szCs w:val="20"/>
              </w:rPr>
              <w:t>*</w:t>
            </w:r>
          </w:p>
        </w:tc>
        <w:tc>
          <w:tcPr>
            <w:tcW w:w="1831"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.00</w:t>
            </w:r>
          </w:p>
        </w:tc>
        <w:tc>
          <w:tcPr>
            <w:tcW w:w="1906"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.19</w:t>
            </w:r>
          </w:p>
        </w:tc>
      </w:tr>
      <w:tr w:rsidR="00B62AFC" w:rsidRPr="00081EF1" w:rsidTr="00AD0D89">
        <w:trPr>
          <w:trHeight w:val="705"/>
        </w:trPr>
        <w:tc>
          <w:tcPr>
            <w:tcW w:w="1266" w:type="dxa"/>
          </w:tcPr>
          <w:p w:rsidR="00B62AFC" w:rsidRPr="00081EF1" w:rsidRDefault="00B62AFC" w:rsidP="00AD0D89">
            <w:pPr>
              <w:spacing w:before="240"/>
              <w:jc w:val="center"/>
              <w:rPr>
                <w:rFonts w:ascii="Garamond" w:hAnsi="Garamond"/>
                <w:sz w:val="20"/>
                <w:szCs w:val="20"/>
              </w:rPr>
            </w:pPr>
            <w:r w:rsidRPr="00081EF1">
              <w:rPr>
                <w:rFonts w:ascii="Garamond" w:hAnsi="Garamond"/>
                <w:sz w:val="20"/>
                <w:szCs w:val="20"/>
              </w:rPr>
              <w:t>East Asia</w:t>
            </w:r>
          </w:p>
        </w:tc>
        <w:tc>
          <w:tcPr>
            <w:tcW w:w="1668" w:type="dxa"/>
          </w:tcPr>
          <w:p w:rsidR="00B62AFC" w:rsidRPr="00081EF1" w:rsidRDefault="00B62AFC" w:rsidP="00AD0D89">
            <w:pPr>
              <w:spacing w:before="240"/>
              <w:rPr>
                <w:rFonts w:ascii="Garamond" w:hAnsi="Garamond"/>
                <w:sz w:val="20"/>
                <w:szCs w:val="20"/>
              </w:rPr>
            </w:pPr>
            <w:r>
              <w:rPr>
                <w:rFonts w:ascii="Garamond" w:hAnsi="Garamond"/>
                <w:sz w:val="20"/>
                <w:szCs w:val="20"/>
              </w:rPr>
              <w:t>19</w:t>
            </w:r>
            <w:r w:rsidRPr="00081EF1">
              <w:rPr>
                <w:rFonts w:ascii="Garamond" w:hAnsi="Garamond"/>
                <w:sz w:val="20"/>
                <w:szCs w:val="20"/>
              </w:rPr>
              <w:t xml:space="preserve">00 </w:t>
            </w:r>
            <w:proofErr w:type="spellStart"/>
            <w:r w:rsidRPr="00081EF1">
              <w:rPr>
                <w:rFonts w:ascii="Garamond" w:hAnsi="Garamond"/>
                <w:sz w:val="20"/>
                <w:szCs w:val="20"/>
              </w:rPr>
              <w:t>bce</w:t>
            </w:r>
            <w:proofErr w:type="spellEnd"/>
            <w:r w:rsidRPr="00081EF1">
              <w:rPr>
                <w:rFonts w:ascii="Garamond" w:hAnsi="Garamond"/>
                <w:sz w:val="20"/>
                <w:szCs w:val="20"/>
              </w:rPr>
              <w:t xml:space="preserve">- 1800 </w:t>
            </w:r>
            <w:proofErr w:type="spellStart"/>
            <w:r w:rsidRPr="00081EF1">
              <w:rPr>
                <w:rFonts w:ascii="Garamond" w:hAnsi="Garamond"/>
                <w:sz w:val="20"/>
                <w:szCs w:val="20"/>
              </w:rPr>
              <w:t>ce</w:t>
            </w:r>
            <w:proofErr w:type="spellEnd"/>
          </w:p>
        </w:tc>
        <w:tc>
          <w:tcPr>
            <w:tcW w:w="1050"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.02</w:t>
            </w:r>
          </w:p>
        </w:tc>
        <w:tc>
          <w:tcPr>
            <w:tcW w:w="1831"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-.01</w:t>
            </w:r>
          </w:p>
        </w:tc>
        <w:tc>
          <w:tcPr>
            <w:tcW w:w="1906"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.47</w:t>
            </w:r>
            <w:r w:rsidR="004874A3" w:rsidRPr="004874A3">
              <w:rPr>
                <w:rFonts w:ascii="Garamond" w:hAnsi="Garamond"/>
                <w:sz w:val="20"/>
                <w:szCs w:val="20"/>
              </w:rPr>
              <w:t>**</w:t>
            </w:r>
          </w:p>
        </w:tc>
      </w:tr>
      <w:tr w:rsidR="00B62AFC" w:rsidRPr="00081EF1" w:rsidTr="00AD0D89">
        <w:trPr>
          <w:trHeight w:val="705"/>
        </w:trPr>
        <w:tc>
          <w:tcPr>
            <w:tcW w:w="1266" w:type="dxa"/>
          </w:tcPr>
          <w:p w:rsidR="00B62AFC" w:rsidRPr="00081EF1" w:rsidRDefault="00B62AFC" w:rsidP="00AD0D89">
            <w:pPr>
              <w:spacing w:before="240"/>
              <w:jc w:val="center"/>
              <w:rPr>
                <w:rFonts w:ascii="Garamond" w:hAnsi="Garamond"/>
                <w:sz w:val="20"/>
                <w:szCs w:val="20"/>
              </w:rPr>
            </w:pPr>
            <w:r w:rsidRPr="00081EF1">
              <w:rPr>
                <w:rFonts w:ascii="Garamond" w:hAnsi="Garamond"/>
                <w:sz w:val="20"/>
                <w:szCs w:val="20"/>
              </w:rPr>
              <w:t>Central</w:t>
            </w:r>
          </w:p>
        </w:tc>
        <w:tc>
          <w:tcPr>
            <w:tcW w:w="1668" w:type="dxa"/>
          </w:tcPr>
          <w:p w:rsidR="00B62AFC" w:rsidRPr="00081EF1" w:rsidRDefault="00B62AFC" w:rsidP="00AD0D89">
            <w:pPr>
              <w:spacing w:before="240"/>
              <w:rPr>
                <w:rFonts w:ascii="Garamond" w:hAnsi="Garamond"/>
                <w:sz w:val="20"/>
                <w:szCs w:val="20"/>
              </w:rPr>
            </w:pPr>
            <w:r w:rsidRPr="00081EF1">
              <w:rPr>
                <w:rFonts w:ascii="Garamond" w:hAnsi="Garamond"/>
                <w:sz w:val="20"/>
                <w:szCs w:val="20"/>
              </w:rPr>
              <w:t xml:space="preserve">1500 </w:t>
            </w:r>
            <w:proofErr w:type="spellStart"/>
            <w:r w:rsidRPr="00081EF1">
              <w:rPr>
                <w:rFonts w:ascii="Garamond" w:hAnsi="Garamond"/>
                <w:sz w:val="20"/>
                <w:szCs w:val="20"/>
              </w:rPr>
              <w:t>bce</w:t>
            </w:r>
            <w:proofErr w:type="spellEnd"/>
            <w:r w:rsidRPr="00081EF1">
              <w:rPr>
                <w:rFonts w:ascii="Garamond" w:hAnsi="Garamond"/>
                <w:sz w:val="20"/>
                <w:szCs w:val="20"/>
              </w:rPr>
              <w:t xml:space="preserve">- 1900 </w:t>
            </w:r>
            <w:proofErr w:type="spellStart"/>
            <w:r w:rsidRPr="00081EF1">
              <w:rPr>
                <w:rFonts w:ascii="Garamond" w:hAnsi="Garamond"/>
                <w:sz w:val="20"/>
                <w:szCs w:val="20"/>
              </w:rPr>
              <w:t>ce</w:t>
            </w:r>
            <w:proofErr w:type="spellEnd"/>
          </w:p>
        </w:tc>
        <w:tc>
          <w:tcPr>
            <w:tcW w:w="1050"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.51</w:t>
            </w:r>
            <w:r w:rsidR="004874A3" w:rsidRPr="004874A3">
              <w:rPr>
                <w:rFonts w:ascii="Garamond" w:hAnsi="Garamond"/>
                <w:sz w:val="20"/>
                <w:szCs w:val="20"/>
              </w:rPr>
              <w:t>***</w:t>
            </w:r>
          </w:p>
        </w:tc>
        <w:tc>
          <w:tcPr>
            <w:tcW w:w="1831"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-.51</w:t>
            </w:r>
            <w:r w:rsidR="004874A3" w:rsidRPr="004874A3">
              <w:rPr>
                <w:rFonts w:ascii="Garamond" w:hAnsi="Garamond"/>
                <w:sz w:val="20"/>
                <w:szCs w:val="20"/>
              </w:rPr>
              <w:t>*</w:t>
            </w:r>
          </w:p>
        </w:tc>
        <w:tc>
          <w:tcPr>
            <w:tcW w:w="1906" w:type="dxa"/>
          </w:tcPr>
          <w:p w:rsidR="00B62AFC" w:rsidRPr="00081EF1" w:rsidRDefault="00101DDB" w:rsidP="00AD0D89">
            <w:pPr>
              <w:spacing w:before="240"/>
              <w:jc w:val="center"/>
              <w:rPr>
                <w:rFonts w:ascii="Garamond" w:hAnsi="Garamond"/>
                <w:sz w:val="20"/>
                <w:szCs w:val="20"/>
              </w:rPr>
            </w:pPr>
            <w:r>
              <w:rPr>
                <w:rFonts w:ascii="Garamond" w:hAnsi="Garamond"/>
                <w:sz w:val="20"/>
                <w:szCs w:val="20"/>
              </w:rPr>
              <w:t>.34</w:t>
            </w:r>
          </w:p>
        </w:tc>
      </w:tr>
    </w:tbl>
    <w:p w:rsidR="00DE22CE" w:rsidRDefault="00101DDB" w:rsidP="00101DDB">
      <w:pPr>
        <w:pStyle w:val="Caption"/>
      </w:pPr>
      <w:r w:rsidRPr="00CF4EBE">
        <w:t xml:space="preserve">Table 16: </w:t>
      </w:r>
      <w:r>
        <w:t>Summary of Partial Correlations</w:t>
      </w:r>
    </w:p>
    <w:p w:rsidR="00AD7BE8" w:rsidRPr="00AD7BE8" w:rsidRDefault="00AD7BE8" w:rsidP="00AD7BE8">
      <w:pPr>
        <w:rPr>
          <w:rFonts w:ascii="Garamond" w:hAnsi="Garamond"/>
          <w:sz w:val="24"/>
          <w:szCs w:val="24"/>
          <w:lang w:eastAsia="en-US"/>
        </w:rPr>
      </w:pPr>
      <w:r w:rsidRPr="00AD7BE8">
        <w:rPr>
          <w:rFonts w:ascii="Garamond" w:hAnsi="Garamond"/>
          <w:sz w:val="24"/>
          <w:szCs w:val="24"/>
          <w:lang w:eastAsia="en-US"/>
        </w:rPr>
        <w:t xml:space="preserve">Table 16 also shows big differences across the PMNs in the partial correlations between city sizes and power configuration. </w:t>
      </w:r>
      <w:r w:rsidR="00321C22">
        <w:rPr>
          <w:rFonts w:ascii="Garamond" w:hAnsi="Garamond"/>
          <w:sz w:val="24"/>
          <w:szCs w:val="24"/>
          <w:lang w:eastAsia="en-US"/>
        </w:rPr>
        <w:t xml:space="preserve"> There is a positive relationship in Mesopotamia, but zero or negative relationships in the other PMNs. </w:t>
      </w:r>
      <w:r w:rsidRPr="00AD7BE8">
        <w:rPr>
          <w:rFonts w:ascii="Garamond" w:hAnsi="Garamond"/>
          <w:sz w:val="24"/>
          <w:szCs w:val="24"/>
          <w:lang w:eastAsia="en-US"/>
        </w:rPr>
        <w:t>We would generally suppose a positive relationship because of the</w:t>
      </w:r>
      <w:r w:rsidR="00321C22">
        <w:rPr>
          <w:rFonts w:ascii="Garamond" w:hAnsi="Garamond"/>
          <w:sz w:val="24"/>
          <w:szCs w:val="24"/>
          <w:lang w:eastAsia="en-US"/>
        </w:rPr>
        <w:t xml:space="preserve"> expected</w:t>
      </w:r>
      <w:r w:rsidRPr="00AD7BE8">
        <w:rPr>
          <w:rFonts w:ascii="Garamond" w:hAnsi="Garamond"/>
          <w:sz w:val="24"/>
          <w:szCs w:val="24"/>
          <w:lang w:eastAsia="en-US"/>
        </w:rPr>
        <w:t xml:space="preserve"> </w:t>
      </w:r>
      <w:r w:rsidR="00321C22">
        <w:rPr>
          <w:rFonts w:ascii="Garamond" w:hAnsi="Garamond"/>
          <w:sz w:val="24"/>
          <w:szCs w:val="24"/>
          <w:lang w:eastAsia="en-US"/>
        </w:rPr>
        <w:t xml:space="preserve">positive </w:t>
      </w:r>
      <w:r w:rsidRPr="00AD7BE8">
        <w:rPr>
          <w:rFonts w:ascii="Garamond" w:hAnsi="Garamond"/>
          <w:sz w:val="24"/>
          <w:szCs w:val="24"/>
          <w:lang w:eastAsia="en-US"/>
        </w:rPr>
        <w:lastRenderedPageBreak/>
        <w:t xml:space="preserve">connection of </w:t>
      </w:r>
      <w:r w:rsidR="00321C22">
        <w:rPr>
          <w:rFonts w:ascii="Garamond" w:hAnsi="Garamond"/>
          <w:sz w:val="24"/>
          <w:szCs w:val="24"/>
          <w:lang w:eastAsia="en-US"/>
        </w:rPr>
        <w:t>both of these</w:t>
      </w:r>
      <w:r w:rsidRPr="00AD7BE8">
        <w:rPr>
          <w:rFonts w:ascii="Garamond" w:hAnsi="Garamond"/>
          <w:sz w:val="24"/>
          <w:szCs w:val="24"/>
          <w:lang w:eastAsia="en-US"/>
        </w:rPr>
        <w:t xml:space="preserve"> variables with the sizes of the largest polities. This idea finds support in the case of Mesopotamia, but South Asia and East Asia have nearly null partial correlations and Egypt and the Cent</w:t>
      </w:r>
      <w:r w:rsidR="00321C22">
        <w:rPr>
          <w:rFonts w:ascii="Garamond" w:hAnsi="Garamond"/>
          <w:sz w:val="24"/>
          <w:szCs w:val="24"/>
          <w:lang w:eastAsia="en-US"/>
        </w:rPr>
        <w:t xml:space="preserve">ral PMN have rather substantial </w:t>
      </w:r>
      <w:r w:rsidRPr="00AD7BE8">
        <w:rPr>
          <w:rFonts w:ascii="Garamond" w:hAnsi="Garamond"/>
          <w:sz w:val="24"/>
          <w:szCs w:val="24"/>
          <w:lang w:eastAsia="en-US"/>
        </w:rPr>
        <w:t xml:space="preserve">negative partial correlations.  These results are confusing. The </w:t>
      </w:r>
      <w:r w:rsidR="00321C22">
        <w:rPr>
          <w:rFonts w:ascii="Garamond" w:hAnsi="Garamond"/>
          <w:sz w:val="24"/>
          <w:szCs w:val="24"/>
          <w:lang w:eastAsia="en-US"/>
        </w:rPr>
        <w:t xml:space="preserve">negative </w:t>
      </w:r>
      <w:r w:rsidRPr="00AD7BE8">
        <w:rPr>
          <w:rFonts w:ascii="Garamond" w:hAnsi="Garamond"/>
          <w:sz w:val="24"/>
          <w:szCs w:val="24"/>
          <w:lang w:eastAsia="en-US"/>
        </w:rPr>
        <w:t xml:space="preserve">partial correlation between city size and power configuration for the Central system may be due to the temporally truncated time period for which estimates of power configuration are available (see Figure 6 above). </w:t>
      </w:r>
    </w:p>
    <w:p w:rsidR="00AD7BE8" w:rsidRDefault="00AD7BE8" w:rsidP="00AD7BE8">
      <w:pPr>
        <w:rPr>
          <w:rFonts w:ascii="Garamond" w:hAnsi="Garamond"/>
          <w:sz w:val="24"/>
          <w:szCs w:val="24"/>
          <w:lang w:eastAsia="en-US"/>
        </w:rPr>
      </w:pPr>
      <w:r w:rsidRPr="00AD7BE8">
        <w:rPr>
          <w:rFonts w:ascii="Garamond" w:hAnsi="Garamond"/>
          <w:sz w:val="24"/>
          <w:szCs w:val="24"/>
          <w:lang w:eastAsia="en-US"/>
        </w:rPr>
        <w:tab/>
        <w:t>The findings regarding the partial correlations between power configuration and the sizes of largest states are more consistent. All of the PMNs show positive partial correlations. This is reassuring because of the noted logical connection between these two variables.  Perhaps it is the rather small positive partial correlations in South Asia and Mesopotamia that are the most noteworthy. In these cases a substantial amount of the variation in power configuration is not captured by the size of the largest polity.</w:t>
      </w:r>
    </w:p>
    <w:p w:rsidR="00B10D9A" w:rsidRDefault="00B10D9A" w:rsidP="00AD7BE8">
      <w:pPr>
        <w:rPr>
          <w:rFonts w:ascii="Garamond" w:hAnsi="Garamond"/>
          <w:sz w:val="24"/>
          <w:szCs w:val="24"/>
          <w:lang w:eastAsia="en-US"/>
        </w:rPr>
      </w:pPr>
      <w:r>
        <w:rPr>
          <w:rFonts w:ascii="Garamond" w:hAnsi="Garamond"/>
          <w:sz w:val="24"/>
          <w:szCs w:val="24"/>
          <w:lang w:eastAsia="en-US"/>
        </w:rPr>
        <w:t xml:space="preserve"> </w:t>
      </w:r>
      <w:r>
        <w:rPr>
          <w:rFonts w:ascii="Garamond" w:hAnsi="Garamond"/>
          <w:sz w:val="24"/>
          <w:szCs w:val="24"/>
          <w:lang w:eastAsia="en-US"/>
        </w:rPr>
        <w:tab/>
        <w:t xml:space="preserve">We also found curious </w:t>
      </w:r>
      <w:proofErr w:type="spellStart"/>
      <w:r>
        <w:rPr>
          <w:rFonts w:ascii="Garamond" w:hAnsi="Garamond"/>
          <w:sz w:val="24"/>
          <w:szCs w:val="24"/>
          <w:lang w:eastAsia="en-US"/>
        </w:rPr>
        <w:t>subperiod</w:t>
      </w:r>
      <w:proofErr w:type="spellEnd"/>
      <w:r>
        <w:rPr>
          <w:rFonts w:ascii="Garamond" w:hAnsi="Garamond"/>
          <w:sz w:val="24"/>
          <w:szCs w:val="24"/>
          <w:lang w:eastAsia="en-US"/>
        </w:rPr>
        <w:t xml:space="preserve"> differences in the city/state relationships for both the East Asian and the Central PMNs (Tables 6,7,9  and 10 above).  For the period from 1900 BCE to the beginning of the Common Era (CE) the East Asian PMN had a significant positive relationship between the size of the largest city and that of the largest polity (.49** in Table 6). Whereas for the period from the beginning of the Common Era until 1800 CE the same correlation is null (-.06 in Table 7). We noted above that non-core marcher states, more important in East Asia than in the Central PMN, were somewhat anti-urban. But this may not explain the </w:t>
      </w:r>
      <w:proofErr w:type="spellStart"/>
      <w:r>
        <w:rPr>
          <w:rFonts w:ascii="Garamond" w:hAnsi="Garamond"/>
          <w:sz w:val="24"/>
          <w:szCs w:val="24"/>
          <w:lang w:eastAsia="en-US"/>
        </w:rPr>
        <w:t>subperiod</w:t>
      </w:r>
      <w:proofErr w:type="spellEnd"/>
      <w:r>
        <w:rPr>
          <w:rFonts w:ascii="Garamond" w:hAnsi="Garamond"/>
          <w:sz w:val="24"/>
          <w:szCs w:val="24"/>
          <w:lang w:eastAsia="en-US"/>
        </w:rPr>
        <w:t xml:space="preserve"> findings for East Asia because non-core marchers were already playing an important part in the BCE period (the </w:t>
      </w:r>
      <w:proofErr w:type="spellStart"/>
      <w:r>
        <w:rPr>
          <w:rFonts w:ascii="Garamond" w:hAnsi="Garamond"/>
          <w:sz w:val="24"/>
          <w:szCs w:val="24"/>
          <w:lang w:eastAsia="en-US"/>
        </w:rPr>
        <w:t>Xiongnu</w:t>
      </w:r>
      <w:proofErr w:type="spellEnd"/>
      <w:r>
        <w:rPr>
          <w:rFonts w:ascii="Garamond" w:hAnsi="Garamond"/>
          <w:sz w:val="24"/>
          <w:szCs w:val="24"/>
          <w:lang w:eastAsia="en-US"/>
        </w:rPr>
        <w:t xml:space="preserve">).  And the Central PMN also displays a curious </w:t>
      </w:r>
      <w:proofErr w:type="spellStart"/>
      <w:r>
        <w:rPr>
          <w:rFonts w:ascii="Garamond" w:hAnsi="Garamond"/>
          <w:sz w:val="24"/>
          <w:szCs w:val="24"/>
          <w:lang w:eastAsia="en-US"/>
        </w:rPr>
        <w:t>subperiod</w:t>
      </w:r>
      <w:proofErr w:type="spellEnd"/>
      <w:r>
        <w:rPr>
          <w:rFonts w:ascii="Garamond" w:hAnsi="Garamond"/>
          <w:sz w:val="24"/>
          <w:szCs w:val="24"/>
          <w:lang w:eastAsia="en-US"/>
        </w:rPr>
        <w:t xml:space="preserve"> difference.  Table 9 </w:t>
      </w:r>
      <w:r w:rsidR="001E2C10">
        <w:rPr>
          <w:rFonts w:ascii="Garamond" w:hAnsi="Garamond"/>
          <w:sz w:val="24"/>
          <w:szCs w:val="24"/>
          <w:lang w:eastAsia="en-US"/>
        </w:rPr>
        <w:t>shows that the city/state relationship</w:t>
      </w:r>
      <w:r w:rsidR="00632A01">
        <w:rPr>
          <w:rFonts w:ascii="Garamond" w:hAnsi="Garamond"/>
          <w:sz w:val="24"/>
          <w:szCs w:val="24"/>
          <w:lang w:eastAsia="en-US"/>
        </w:rPr>
        <w:t xml:space="preserve"> for the Central PMN from 1500 BCE to the beginning of the Common Era is .21 whereas for the period from the beginning of the Common Era until 1900 CE it is .54*** (Table 10).  So these two PMNs display rather different </w:t>
      </w:r>
      <w:proofErr w:type="spellStart"/>
      <w:r w:rsidR="00632A01">
        <w:rPr>
          <w:rFonts w:ascii="Garamond" w:hAnsi="Garamond"/>
          <w:sz w:val="24"/>
          <w:szCs w:val="24"/>
          <w:lang w:eastAsia="en-US"/>
        </w:rPr>
        <w:t>subperiod</w:t>
      </w:r>
      <w:proofErr w:type="spellEnd"/>
      <w:r w:rsidR="00632A01">
        <w:rPr>
          <w:rFonts w:ascii="Garamond" w:hAnsi="Garamond"/>
          <w:sz w:val="24"/>
          <w:szCs w:val="24"/>
          <w:lang w:eastAsia="en-US"/>
        </w:rPr>
        <w:t xml:space="preserve"> results. </w:t>
      </w:r>
      <w:r w:rsidR="00632A01" w:rsidRPr="00632A01">
        <w:rPr>
          <w:rFonts w:ascii="Garamond" w:hAnsi="Garamond"/>
          <w:sz w:val="24"/>
          <w:szCs w:val="24"/>
          <w:highlight w:val="yellow"/>
          <w:lang w:eastAsia="en-US"/>
        </w:rPr>
        <w:t>Why?</w:t>
      </w:r>
      <w:r w:rsidR="00632A01">
        <w:rPr>
          <w:rFonts w:ascii="Garamond" w:hAnsi="Garamond"/>
          <w:sz w:val="24"/>
          <w:szCs w:val="24"/>
          <w:lang w:eastAsia="en-US"/>
        </w:rPr>
        <w:t xml:space="preserve"> </w:t>
      </w:r>
      <w:r w:rsidR="001E2C10">
        <w:rPr>
          <w:rFonts w:ascii="Garamond" w:hAnsi="Garamond"/>
          <w:sz w:val="24"/>
          <w:szCs w:val="24"/>
          <w:lang w:eastAsia="en-US"/>
        </w:rPr>
        <w:t xml:space="preserve"> </w:t>
      </w:r>
    </w:p>
    <w:p w:rsidR="00311B5C" w:rsidRDefault="00311B5C" w:rsidP="002C2CAE">
      <w:pPr>
        <w:rPr>
          <w:rFonts w:ascii="Bookman Old Style" w:hAnsi="Bookman Old Style" w:cs="Gisha"/>
          <w:sz w:val="24"/>
          <w:szCs w:val="24"/>
        </w:rPr>
      </w:pPr>
      <w:r w:rsidRPr="00311B5C">
        <w:rPr>
          <w:rFonts w:ascii="Bookman Old Style" w:hAnsi="Bookman Old Style" w:cs="Gisha"/>
          <w:sz w:val="24"/>
          <w:szCs w:val="24"/>
        </w:rPr>
        <w:t>Discussion and Conclusions</w:t>
      </w:r>
    </w:p>
    <w:p w:rsidR="00311B5C" w:rsidRDefault="00D900E8" w:rsidP="002C2CAE">
      <w:pPr>
        <w:rPr>
          <w:rFonts w:ascii="Garamond" w:hAnsi="Garamond" w:cs="Gisha"/>
          <w:sz w:val="24"/>
          <w:szCs w:val="24"/>
        </w:rPr>
      </w:pPr>
      <w:r>
        <w:rPr>
          <w:rFonts w:ascii="Bookman Old Style" w:hAnsi="Bookman Old Style" w:cs="Gisha"/>
          <w:sz w:val="24"/>
          <w:szCs w:val="24"/>
        </w:rPr>
        <w:tab/>
      </w:r>
      <w:r>
        <w:rPr>
          <w:rFonts w:ascii="Garamond" w:hAnsi="Garamond" w:cs="Gisha"/>
          <w:sz w:val="24"/>
          <w:szCs w:val="24"/>
        </w:rPr>
        <w:t>An earlier study (</w:t>
      </w:r>
      <w:r w:rsidRPr="00D900E8">
        <w:rPr>
          <w:rFonts w:ascii="Garamond" w:hAnsi="Garamond" w:cs="Gisha"/>
          <w:sz w:val="24"/>
          <w:szCs w:val="24"/>
        </w:rPr>
        <w:t xml:space="preserve">Chase-Dunn, Alvarez and </w:t>
      </w:r>
      <w:proofErr w:type="spellStart"/>
      <w:r w:rsidRPr="00D900E8">
        <w:rPr>
          <w:rFonts w:ascii="Garamond" w:hAnsi="Garamond" w:cs="Gisha"/>
          <w:sz w:val="24"/>
          <w:szCs w:val="24"/>
        </w:rPr>
        <w:t>Pasciuti</w:t>
      </w:r>
      <w:proofErr w:type="spellEnd"/>
      <w:r w:rsidRPr="00D900E8">
        <w:rPr>
          <w:rFonts w:ascii="Garamond" w:hAnsi="Garamond" w:cs="Gisha"/>
          <w:sz w:val="24"/>
          <w:szCs w:val="24"/>
        </w:rPr>
        <w:t xml:space="preserve"> 2005</w:t>
      </w:r>
      <w:r>
        <w:rPr>
          <w:rFonts w:ascii="Garamond" w:hAnsi="Garamond" w:cs="Gisha"/>
          <w:sz w:val="24"/>
          <w:szCs w:val="24"/>
        </w:rPr>
        <w:t>) found positive cross-temporal correlations in several world regions in the relationship between the territorial sizes of the largest and the second largest states</w:t>
      </w:r>
      <w:r w:rsidR="00C827C1">
        <w:rPr>
          <w:rFonts w:ascii="Garamond" w:hAnsi="Garamond" w:cs="Gisha"/>
          <w:sz w:val="24"/>
          <w:szCs w:val="24"/>
        </w:rPr>
        <w:t xml:space="preserve"> (</w:t>
      </w:r>
      <w:proofErr w:type="spellStart"/>
      <w:r w:rsidR="00C827C1">
        <w:rPr>
          <w:rFonts w:ascii="Garamond" w:hAnsi="Garamond" w:cs="Gisha"/>
          <w:sz w:val="24"/>
          <w:szCs w:val="24"/>
        </w:rPr>
        <w:t>Taagepera</w:t>
      </w:r>
      <w:proofErr w:type="spellEnd"/>
      <w:r w:rsidR="00C827C1">
        <w:rPr>
          <w:rFonts w:ascii="Garamond" w:hAnsi="Garamond" w:cs="Gisha"/>
          <w:sz w:val="24"/>
          <w:szCs w:val="24"/>
        </w:rPr>
        <w:t xml:space="preserve"> 1978a: 116)</w:t>
      </w:r>
      <w:r>
        <w:rPr>
          <w:rFonts w:ascii="Garamond" w:hAnsi="Garamond" w:cs="Gisha"/>
          <w:sz w:val="24"/>
          <w:szCs w:val="24"/>
        </w:rPr>
        <w:t>.  This was surprising because of the hypotheses that territorial sizes of states is somewhat of a zero-sum game.  If one state has a lot of territory there is less available for other states. This finding was interpreted to mean that world regions experience periods of growth in which states are</w:t>
      </w:r>
      <w:r w:rsidR="00C827C1">
        <w:rPr>
          <w:rFonts w:ascii="Garamond" w:hAnsi="Garamond" w:cs="Gisha"/>
          <w:sz w:val="24"/>
          <w:szCs w:val="24"/>
        </w:rPr>
        <w:t xml:space="preserve"> generally</w:t>
      </w:r>
      <w:r>
        <w:rPr>
          <w:rFonts w:ascii="Garamond" w:hAnsi="Garamond" w:cs="Gisha"/>
          <w:sz w:val="24"/>
          <w:szCs w:val="24"/>
        </w:rPr>
        <w:t xml:space="preserve"> getting larger and periods </w:t>
      </w:r>
      <w:r w:rsidR="00C827C1">
        <w:rPr>
          <w:rFonts w:ascii="Garamond" w:hAnsi="Garamond" w:cs="Gisha"/>
          <w:sz w:val="24"/>
          <w:szCs w:val="24"/>
        </w:rPr>
        <w:t xml:space="preserve">of decline </w:t>
      </w:r>
      <w:r>
        <w:rPr>
          <w:rFonts w:ascii="Garamond" w:hAnsi="Garamond" w:cs="Gisha"/>
          <w:sz w:val="24"/>
          <w:szCs w:val="24"/>
        </w:rPr>
        <w:t>in which states are getting smaller, thus producing the positive cross-temporal correlation</w:t>
      </w:r>
      <w:r w:rsidR="00C827C1">
        <w:rPr>
          <w:rFonts w:ascii="Garamond" w:hAnsi="Garamond" w:cs="Gisha"/>
          <w:sz w:val="24"/>
          <w:szCs w:val="24"/>
        </w:rPr>
        <w:t>s</w:t>
      </w:r>
      <w:r>
        <w:rPr>
          <w:rFonts w:ascii="Garamond" w:hAnsi="Garamond" w:cs="Gisha"/>
          <w:sz w:val="24"/>
          <w:szCs w:val="24"/>
        </w:rPr>
        <w:t xml:space="preserve"> between largest and second largest states. </w:t>
      </w:r>
      <w:r w:rsidR="001F6CEE">
        <w:rPr>
          <w:rFonts w:ascii="Garamond" w:hAnsi="Garamond" w:cs="Gisha"/>
          <w:sz w:val="24"/>
          <w:szCs w:val="24"/>
        </w:rPr>
        <w:t>If this is true it has implications for our study of the relationships between cities and states. The positive correlation</w:t>
      </w:r>
      <w:r w:rsidR="00C827C1">
        <w:rPr>
          <w:rFonts w:ascii="Garamond" w:hAnsi="Garamond" w:cs="Gisha"/>
          <w:sz w:val="24"/>
          <w:szCs w:val="24"/>
        </w:rPr>
        <w:t>s, when they exist,</w:t>
      </w:r>
      <w:r w:rsidR="001F6CEE">
        <w:rPr>
          <w:rFonts w:ascii="Garamond" w:hAnsi="Garamond" w:cs="Gisha"/>
          <w:sz w:val="24"/>
          <w:szCs w:val="24"/>
        </w:rPr>
        <w:t xml:space="preserve"> may be due to these regional growth/decline phases. </w:t>
      </w:r>
      <w:r w:rsidR="00C126E7">
        <w:rPr>
          <w:rFonts w:ascii="Garamond" w:hAnsi="Garamond" w:cs="Gisha"/>
          <w:sz w:val="24"/>
          <w:szCs w:val="24"/>
        </w:rPr>
        <w:t xml:space="preserve"> </w:t>
      </w:r>
    </w:p>
    <w:p w:rsidR="00796CF3" w:rsidRPr="00DF28F1" w:rsidRDefault="00091CCC" w:rsidP="00796CF3">
      <w:pPr>
        <w:pStyle w:val="ListParagraph"/>
        <w:pBdr>
          <w:top w:val="single" w:sz="4" w:space="1" w:color="auto"/>
          <w:left w:val="single" w:sz="4" w:space="4" w:color="auto"/>
          <w:bottom w:val="single" w:sz="4" w:space="1" w:color="auto"/>
          <w:right w:val="single" w:sz="4" w:space="4" w:color="auto"/>
        </w:pBdr>
        <w:rPr>
          <w:rFonts w:ascii="Garamond" w:hAnsi="Garamond" w:cs="Gisha"/>
          <w:highlight w:val="yellow"/>
        </w:rPr>
      </w:pPr>
      <w:r>
        <w:rPr>
          <w:rFonts w:ascii="Garamond" w:hAnsi="Garamond" w:cs="Gisha"/>
          <w:highlight w:val="yellow"/>
        </w:rPr>
        <w:t xml:space="preserve">To do: </w:t>
      </w:r>
      <w:r w:rsidR="00796CF3" w:rsidRPr="00DF28F1">
        <w:rPr>
          <w:rFonts w:ascii="Garamond" w:hAnsi="Garamond" w:cs="Gisha"/>
          <w:highlight w:val="yellow"/>
        </w:rPr>
        <w:t xml:space="preserve">look at graphs for leads and lags and comment upon these.  </w:t>
      </w:r>
      <w:r w:rsidR="00632A01">
        <w:rPr>
          <w:rFonts w:ascii="Garamond" w:hAnsi="Garamond" w:cs="Gisha"/>
          <w:highlight w:val="yellow"/>
        </w:rPr>
        <w:t xml:space="preserve">Figure out why the </w:t>
      </w:r>
      <w:proofErr w:type="spellStart"/>
      <w:r w:rsidR="00632A01">
        <w:rPr>
          <w:rFonts w:ascii="Garamond" w:hAnsi="Garamond" w:cs="Gisha"/>
          <w:highlight w:val="yellow"/>
        </w:rPr>
        <w:t>subperiods</w:t>
      </w:r>
      <w:proofErr w:type="spellEnd"/>
      <w:r w:rsidR="00632A01">
        <w:rPr>
          <w:rFonts w:ascii="Garamond" w:hAnsi="Garamond" w:cs="Gisha"/>
          <w:highlight w:val="yellow"/>
        </w:rPr>
        <w:t xml:space="preserve"> for the East Asian and Central PMNs are different. </w:t>
      </w:r>
    </w:p>
    <w:p w:rsidR="00796CF3" w:rsidRPr="00DF28F1" w:rsidRDefault="00796CF3" w:rsidP="00796CF3">
      <w:pPr>
        <w:pStyle w:val="ListParagraph"/>
        <w:numPr>
          <w:ilvl w:val="0"/>
          <w:numId w:val="3"/>
        </w:numPr>
        <w:pBdr>
          <w:top w:val="single" w:sz="4" w:space="1" w:color="auto"/>
          <w:left w:val="single" w:sz="4" w:space="4" w:color="auto"/>
          <w:bottom w:val="single" w:sz="4" w:space="1" w:color="auto"/>
          <w:right w:val="single" w:sz="4" w:space="4" w:color="auto"/>
        </w:pBdr>
        <w:rPr>
          <w:rFonts w:ascii="Garamond" w:hAnsi="Garamond" w:cs="Gisha"/>
          <w:highlight w:val="yellow"/>
        </w:rPr>
      </w:pPr>
      <w:r w:rsidRPr="00DF28F1">
        <w:rPr>
          <w:rFonts w:ascii="Garamond" w:hAnsi="Garamond" w:cs="Gisha"/>
          <w:highlight w:val="yellow"/>
        </w:rPr>
        <w:t>Count the swings and sweeps. Compare these with</w:t>
      </w:r>
      <w:r w:rsidR="003B0E7B">
        <w:rPr>
          <w:rFonts w:ascii="Garamond" w:hAnsi="Garamond" w:cs="Gisha"/>
          <w:highlight w:val="yellow"/>
        </w:rPr>
        <w:t xml:space="preserve"> counts and</w:t>
      </w:r>
      <w:r w:rsidRPr="00DF28F1">
        <w:rPr>
          <w:rFonts w:ascii="Garamond" w:hAnsi="Garamond" w:cs="Gisha"/>
          <w:highlight w:val="yellow"/>
        </w:rPr>
        <w:t xml:space="preserve"> tables</w:t>
      </w:r>
      <w:r>
        <w:rPr>
          <w:rFonts w:ascii="Garamond" w:hAnsi="Garamond" w:cs="Gisha"/>
          <w:highlight w:val="yellow"/>
        </w:rPr>
        <w:t xml:space="preserve"> in earlier studies</w:t>
      </w:r>
      <w:r w:rsidRPr="00DF28F1">
        <w:rPr>
          <w:rFonts w:ascii="Garamond" w:hAnsi="Garamond" w:cs="Gisha"/>
          <w:highlight w:val="yellow"/>
        </w:rPr>
        <w:t>.</w:t>
      </w:r>
      <w:r w:rsidR="008D7D49">
        <w:rPr>
          <w:rFonts w:ascii="Garamond" w:hAnsi="Garamond" w:cs="Gisha"/>
          <w:highlight w:val="yellow"/>
        </w:rPr>
        <w:t xml:space="preserve"> </w:t>
      </w:r>
      <w:r w:rsidR="003B0E7B">
        <w:rPr>
          <w:rFonts w:ascii="Garamond" w:hAnsi="Garamond" w:cs="Gisha"/>
          <w:highlight w:val="yellow"/>
        </w:rPr>
        <w:t xml:space="preserve"> Compare the figs. </w:t>
      </w:r>
      <w:r w:rsidR="008D7D49">
        <w:rPr>
          <w:rFonts w:ascii="Garamond" w:hAnsi="Garamond" w:cs="Gisha"/>
          <w:highlight w:val="yellow"/>
        </w:rPr>
        <w:t>How often is the large</w:t>
      </w:r>
      <w:r w:rsidR="003B0E7B">
        <w:rPr>
          <w:rFonts w:ascii="Garamond" w:hAnsi="Garamond" w:cs="Gisha"/>
          <w:highlight w:val="yellow"/>
        </w:rPr>
        <w:t>st city in the largest polity?</w:t>
      </w:r>
      <w:r w:rsidRPr="00DF28F1">
        <w:rPr>
          <w:rFonts w:ascii="Garamond" w:hAnsi="Garamond" w:cs="Gisha"/>
          <w:highlight w:val="yellow"/>
        </w:rPr>
        <w:t xml:space="preserve">  Identify the sweeps in the graphs.</w:t>
      </w:r>
    </w:p>
    <w:p w:rsidR="00796CF3" w:rsidRDefault="00796CF3" w:rsidP="00796CF3">
      <w:pPr>
        <w:pStyle w:val="ListParagraph"/>
        <w:numPr>
          <w:ilvl w:val="0"/>
          <w:numId w:val="3"/>
        </w:numPr>
        <w:pBdr>
          <w:top w:val="single" w:sz="4" w:space="1" w:color="auto"/>
          <w:left w:val="single" w:sz="4" w:space="4" w:color="auto"/>
          <w:bottom w:val="single" w:sz="4" w:space="1" w:color="auto"/>
          <w:right w:val="single" w:sz="4" w:space="4" w:color="auto"/>
        </w:pBdr>
        <w:rPr>
          <w:rFonts w:ascii="Garamond" w:hAnsi="Garamond" w:cs="Gisha"/>
        </w:rPr>
      </w:pPr>
      <w:r w:rsidRPr="00DF28F1">
        <w:rPr>
          <w:rFonts w:ascii="Garamond" w:hAnsi="Garamond" w:cs="Gisha"/>
          <w:highlight w:val="yellow"/>
        </w:rPr>
        <w:t>Do time series test of antecedence</w:t>
      </w:r>
      <w:r>
        <w:rPr>
          <w:rFonts w:ascii="Garamond" w:hAnsi="Garamond" w:cs="Gisha"/>
          <w:highlight w:val="yellow"/>
        </w:rPr>
        <w:t xml:space="preserve"> (Granger causality)</w:t>
      </w:r>
      <w:r w:rsidRPr="00DF28F1">
        <w:rPr>
          <w:rFonts w:ascii="Garamond" w:hAnsi="Garamond" w:cs="Gisha"/>
          <w:highlight w:val="yellow"/>
        </w:rPr>
        <w:t>. Pick a sample of swings and figure out what caused them by reading the histories.</w:t>
      </w:r>
      <w:r w:rsidRPr="00DF28F1">
        <w:rPr>
          <w:rFonts w:ascii="Garamond" w:hAnsi="Garamond" w:cs="Gisha"/>
        </w:rPr>
        <w:t xml:space="preserve"> </w:t>
      </w:r>
      <w:r>
        <w:rPr>
          <w:rFonts w:ascii="Garamond" w:hAnsi="Garamond" w:cs="Gisha"/>
        </w:rPr>
        <w:t xml:space="preserve"> </w:t>
      </w:r>
    </w:p>
    <w:p w:rsidR="00091CCC" w:rsidRPr="00091CCC" w:rsidRDefault="00091CCC" w:rsidP="00796CF3">
      <w:pPr>
        <w:pStyle w:val="ListParagraph"/>
        <w:numPr>
          <w:ilvl w:val="0"/>
          <w:numId w:val="3"/>
        </w:numPr>
        <w:pBdr>
          <w:top w:val="single" w:sz="4" w:space="1" w:color="auto"/>
          <w:left w:val="single" w:sz="4" w:space="4" w:color="auto"/>
          <w:bottom w:val="single" w:sz="4" w:space="1" w:color="auto"/>
          <w:right w:val="single" w:sz="4" w:space="4" w:color="auto"/>
        </w:pBdr>
        <w:rPr>
          <w:rFonts w:ascii="Garamond" w:hAnsi="Garamond" w:cs="Gisha"/>
          <w:highlight w:val="yellow"/>
        </w:rPr>
      </w:pPr>
      <w:r w:rsidRPr="00091CCC">
        <w:rPr>
          <w:rFonts w:ascii="Garamond" w:hAnsi="Garamond" w:cs="Gisha"/>
          <w:highlight w:val="yellow"/>
        </w:rPr>
        <w:t xml:space="preserve">Do the Aegean </w:t>
      </w:r>
      <w:proofErr w:type="spellStart"/>
      <w:r w:rsidRPr="00091CCC">
        <w:rPr>
          <w:rFonts w:ascii="Garamond" w:hAnsi="Garamond" w:cs="Gisha"/>
          <w:highlight w:val="yellow"/>
        </w:rPr>
        <w:t>pmn</w:t>
      </w:r>
      <w:proofErr w:type="spellEnd"/>
      <w:r w:rsidRPr="00091CCC">
        <w:rPr>
          <w:rFonts w:ascii="Garamond" w:hAnsi="Garamond" w:cs="Gisha"/>
          <w:highlight w:val="yellow"/>
        </w:rPr>
        <w:t xml:space="preserve">. </w:t>
      </w:r>
      <w:r w:rsidR="0086397B">
        <w:rPr>
          <w:rFonts w:ascii="Garamond" w:hAnsi="Garamond" w:cs="Gisha"/>
          <w:highlight w:val="yellow"/>
        </w:rPr>
        <w:t xml:space="preserve"> Also study the city size distribution by adding the 2</w:t>
      </w:r>
      <w:r w:rsidR="0086397B" w:rsidRPr="0086397B">
        <w:rPr>
          <w:rFonts w:ascii="Garamond" w:hAnsi="Garamond" w:cs="Gisha"/>
          <w:highlight w:val="yellow"/>
          <w:vertAlign w:val="superscript"/>
        </w:rPr>
        <w:t>nd</w:t>
      </w:r>
      <w:r w:rsidR="0086397B">
        <w:rPr>
          <w:rFonts w:ascii="Garamond" w:hAnsi="Garamond" w:cs="Gisha"/>
          <w:highlight w:val="yellow"/>
        </w:rPr>
        <w:t xml:space="preserve"> largest city in each system at each time point.  </w:t>
      </w:r>
    </w:p>
    <w:p w:rsidR="002C1547" w:rsidRPr="00BC3D27" w:rsidRDefault="002C1547" w:rsidP="00BD0C66">
      <w:pPr>
        <w:ind w:left="720" w:hanging="720"/>
        <w:jc w:val="center"/>
        <w:rPr>
          <w:rFonts w:ascii="Bookman Old Style" w:hAnsi="Bookman Old Style" w:cs="Gisha"/>
          <w:sz w:val="24"/>
        </w:rPr>
      </w:pPr>
      <w:r w:rsidRPr="00BC3D27">
        <w:rPr>
          <w:rFonts w:ascii="Bookman Old Style" w:hAnsi="Bookman Old Style" w:cs="Gisha"/>
          <w:sz w:val="24"/>
        </w:rPr>
        <w:t>Bibliography</w:t>
      </w:r>
    </w:p>
    <w:p w:rsidR="004924A3" w:rsidRDefault="004924A3" w:rsidP="004924A3">
      <w:pPr>
        <w:rPr>
          <w:rStyle w:val="Hyperlink"/>
          <w:rFonts w:ascii="Courier New" w:hAnsi="Courier New" w:cs="Courier New"/>
          <w:sz w:val="16"/>
          <w:szCs w:val="16"/>
        </w:rPr>
      </w:pPr>
      <w:r>
        <w:rPr>
          <w:rFonts w:ascii="Garamond" w:hAnsi="Garamond" w:cs="Gisha"/>
          <w:sz w:val="24"/>
          <w:szCs w:val="24"/>
        </w:rPr>
        <w:t xml:space="preserve">6000 Years of Urban Growth </w:t>
      </w:r>
      <w:hyperlink r:id="rId19" w:history="1">
        <w:r w:rsidRPr="00194C45">
          <w:rPr>
            <w:rStyle w:val="Hyperlink"/>
            <w:rFonts w:ascii="Courier New" w:hAnsi="Courier New" w:cs="Courier New"/>
            <w:sz w:val="16"/>
            <w:szCs w:val="16"/>
          </w:rPr>
          <w:t>http://www.citylab.com/housing/2016/06/watch-6000-years-of-urbanization-in-3-minutes-max-galka-metrocosm/487142/</w:t>
        </w:r>
      </w:hyperlink>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Abu-</w:t>
      </w:r>
      <w:proofErr w:type="spellStart"/>
      <w:r w:rsidRPr="005B0A67">
        <w:rPr>
          <w:rFonts w:ascii="Garamond" w:eastAsia="Times New Roman" w:hAnsi="Garamond" w:cs="Times New Roman"/>
          <w:color w:val="000000"/>
          <w:sz w:val="24"/>
          <w:szCs w:val="24"/>
          <w:lang w:eastAsia="en-US"/>
        </w:rPr>
        <w:t>Lughod</w:t>
      </w:r>
      <w:proofErr w:type="spellEnd"/>
      <w:r w:rsidRPr="005B0A67">
        <w:rPr>
          <w:rFonts w:ascii="Garamond" w:eastAsia="Times New Roman" w:hAnsi="Garamond" w:cs="Times New Roman"/>
          <w:color w:val="000000"/>
          <w:sz w:val="24"/>
          <w:szCs w:val="24"/>
          <w:lang w:eastAsia="en-US"/>
        </w:rPr>
        <w:t>, Janet </w:t>
      </w:r>
      <w:proofErr w:type="spellStart"/>
      <w:r w:rsidRPr="005B0A67">
        <w:rPr>
          <w:rFonts w:ascii="Garamond" w:eastAsia="Times New Roman" w:hAnsi="Garamond" w:cs="Times New Roman"/>
          <w:color w:val="000000"/>
          <w:sz w:val="24"/>
          <w:szCs w:val="24"/>
          <w:lang w:eastAsia="en-US"/>
        </w:rPr>
        <w:t>Lippman</w:t>
      </w:r>
      <w:proofErr w:type="spellEnd"/>
      <w:r w:rsidRPr="005B0A67">
        <w:rPr>
          <w:rFonts w:ascii="Garamond" w:eastAsia="Times New Roman" w:hAnsi="Garamond" w:cs="Times New Roman"/>
          <w:color w:val="000000"/>
          <w:sz w:val="24"/>
          <w:szCs w:val="24"/>
          <w:lang w:eastAsia="en-US"/>
        </w:rPr>
        <w:t> 1989. </w:t>
      </w:r>
      <w:r w:rsidRPr="005B0A67">
        <w:rPr>
          <w:rFonts w:ascii="Garamond" w:eastAsia="Times New Roman" w:hAnsi="Garamond" w:cs="Times New Roman"/>
          <w:i/>
          <w:iCs/>
          <w:color w:val="000000"/>
          <w:sz w:val="24"/>
          <w:szCs w:val="24"/>
          <w:lang w:eastAsia="en-US"/>
        </w:rPr>
        <w:t>Before European Hegemony The World System A.D. 1250-1350</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New York: Oxford University Press.</w:t>
      </w:r>
    </w:p>
    <w:p w:rsidR="004263DA" w:rsidRPr="005B0A67" w:rsidRDefault="004263DA" w:rsidP="00B749E2">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Adams, Robert McCormick 1981 </w:t>
      </w:r>
      <w:r w:rsidRPr="005B0A67">
        <w:rPr>
          <w:rFonts w:ascii="Garamond" w:eastAsia="Times New Roman" w:hAnsi="Garamond" w:cs="Times New Roman"/>
          <w:i/>
          <w:iCs/>
          <w:color w:val="000000"/>
          <w:sz w:val="24"/>
          <w:szCs w:val="24"/>
          <w:lang w:eastAsia="en-US"/>
        </w:rPr>
        <w:t>The Heartland of Cities: Surveys of Ancient Settlement and Land</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i/>
          <w:iCs/>
          <w:color w:val="000000"/>
          <w:sz w:val="24"/>
          <w:szCs w:val="24"/>
          <w:lang w:eastAsia="en-US"/>
        </w:rPr>
        <w:t>Use on the Central Floodplain of the Euphrates</w:t>
      </w:r>
      <w:r w:rsidRPr="005B0A67">
        <w:rPr>
          <w:rFonts w:ascii="Garamond" w:eastAsia="Times New Roman" w:hAnsi="Garamond" w:cs="Times New Roman"/>
          <w:color w:val="000000"/>
          <w:sz w:val="24"/>
          <w:szCs w:val="24"/>
          <w:lang w:eastAsia="en-US"/>
        </w:rPr>
        <w:t>. Chicago: University of Chicago Press</w:t>
      </w:r>
      <w:r w:rsidR="00784171" w:rsidRPr="005B0A67">
        <w:rPr>
          <w:rFonts w:ascii="Garamond" w:eastAsia="Times New Roman" w:hAnsi="Garamond" w:cs="Times New Roman"/>
          <w:color w:val="000000"/>
          <w:sz w:val="24"/>
          <w:szCs w:val="24"/>
          <w:lang w:eastAsia="en-US"/>
        </w:rPr>
        <w:t>.</w:t>
      </w:r>
    </w:p>
    <w:p w:rsidR="00B749E2" w:rsidRPr="005B0A67" w:rsidRDefault="00B749E2" w:rsidP="00B749E2">
      <w:pPr>
        <w:ind w:left="720" w:hanging="720"/>
        <w:rPr>
          <w:rFonts w:ascii="Garamond" w:eastAsia="Times New Roman" w:hAnsi="Garamond" w:cs="Times New Roman"/>
          <w:sz w:val="24"/>
          <w:szCs w:val="24"/>
          <w:lang w:eastAsia="en-US"/>
        </w:rPr>
      </w:pPr>
      <w:proofErr w:type="spellStart"/>
      <w:r w:rsidRPr="005B0A67">
        <w:rPr>
          <w:rFonts w:ascii="Garamond" w:eastAsia="Times New Roman" w:hAnsi="Garamond" w:cs="Garamond"/>
          <w:color w:val="000000"/>
          <w:sz w:val="24"/>
          <w:szCs w:val="24"/>
          <w:lang w:eastAsia="en-US"/>
        </w:rPr>
        <w:lastRenderedPageBreak/>
        <w:t>Algaze</w:t>
      </w:r>
      <w:proofErr w:type="spellEnd"/>
      <w:r w:rsidRPr="005B0A67">
        <w:rPr>
          <w:rFonts w:ascii="Garamond" w:eastAsia="Times New Roman" w:hAnsi="Garamond" w:cs="Garamond"/>
          <w:color w:val="000000"/>
          <w:sz w:val="24"/>
          <w:szCs w:val="24"/>
          <w:lang w:eastAsia="en-US"/>
        </w:rPr>
        <w:t>, Guillermo 1993. </w:t>
      </w:r>
      <w:r w:rsidRPr="005B0A67">
        <w:rPr>
          <w:rFonts w:ascii="Garamond" w:eastAsia="Times New Roman" w:hAnsi="Garamond" w:cs="Garamond"/>
          <w:i/>
          <w:iCs/>
          <w:color w:val="000000"/>
          <w:sz w:val="24"/>
          <w:szCs w:val="24"/>
          <w:lang w:eastAsia="en-US"/>
        </w:rPr>
        <w:t xml:space="preserve">The </w:t>
      </w:r>
      <w:proofErr w:type="spellStart"/>
      <w:r w:rsidRPr="005B0A67">
        <w:rPr>
          <w:rFonts w:ascii="Garamond" w:eastAsia="Times New Roman" w:hAnsi="Garamond" w:cs="Garamond"/>
          <w:i/>
          <w:iCs/>
          <w:color w:val="000000"/>
          <w:sz w:val="24"/>
          <w:szCs w:val="24"/>
          <w:lang w:eastAsia="en-US"/>
        </w:rPr>
        <w:t>Uruk</w:t>
      </w:r>
      <w:proofErr w:type="spellEnd"/>
      <w:r w:rsidRPr="005B0A67">
        <w:rPr>
          <w:rFonts w:ascii="Garamond" w:eastAsia="Times New Roman" w:hAnsi="Garamond" w:cs="Garamond"/>
          <w:i/>
          <w:iCs/>
          <w:color w:val="000000"/>
          <w:sz w:val="24"/>
          <w:szCs w:val="24"/>
          <w:lang w:eastAsia="en-US"/>
        </w:rPr>
        <w:t xml:space="preserve"> World System: The Dynamics of Expansion of Early Mesopotamian Civilization</w:t>
      </w:r>
      <w:r w:rsidRPr="005B0A67">
        <w:rPr>
          <w:rFonts w:ascii="Garamond" w:eastAsia="Times New Roman" w:hAnsi="Garamond" w:cs="Garamond"/>
          <w:color w:val="000000"/>
          <w:sz w:val="24"/>
          <w:szCs w:val="24"/>
          <w:lang w:eastAsia="en-US"/>
        </w:rPr>
        <w:t> Chicago: University of Chicago Press.</w:t>
      </w:r>
    </w:p>
    <w:p w:rsidR="00B749E2" w:rsidRPr="005B0A67" w:rsidRDefault="00B749E2" w:rsidP="00B749E2">
      <w:pPr>
        <w:ind w:left="720" w:hanging="720"/>
        <w:rPr>
          <w:rFonts w:ascii="Garamond" w:eastAsia="Times New Roman" w:hAnsi="Garamond" w:cs="Times New Roman"/>
          <w:sz w:val="24"/>
          <w:szCs w:val="24"/>
          <w:lang w:eastAsia="en-US"/>
        </w:rPr>
      </w:pPr>
      <w:r w:rsidRPr="005B0A67">
        <w:rPr>
          <w:rFonts w:ascii="Garamond" w:eastAsia="Times New Roman" w:hAnsi="Garamond" w:cs="Garamond"/>
          <w:color w:val="000000"/>
          <w:sz w:val="24"/>
          <w:szCs w:val="24"/>
          <w:u w:val="single"/>
          <w:lang w:eastAsia="en-US"/>
        </w:rPr>
        <w:tab/>
      </w:r>
      <w:r w:rsidRPr="005B0A67">
        <w:rPr>
          <w:rFonts w:ascii="Garamond" w:eastAsia="Times New Roman" w:hAnsi="Garamond" w:cs="Garamond"/>
          <w:color w:val="000000"/>
          <w:sz w:val="24"/>
          <w:szCs w:val="24"/>
          <w:lang w:eastAsia="en-US"/>
        </w:rPr>
        <w:t xml:space="preserve">. 2000. “The prehistory of imperialism: the case of </w:t>
      </w:r>
      <w:proofErr w:type="spellStart"/>
      <w:r w:rsidRPr="005B0A67">
        <w:rPr>
          <w:rFonts w:ascii="Garamond" w:eastAsia="Times New Roman" w:hAnsi="Garamond" w:cs="Garamond"/>
          <w:color w:val="000000"/>
          <w:sz w:val="24"/>
          <w:szCs w:val="24"/>
          <w:lang w:eastAsia="en-US"/>
        </w:rPr>
        <w:t>Uruk</w:t>
      </w:r>
      <w:proofErr w:type="spellEnd"/>
      <w:r w:rsidRPr="005B0A67">
        <w:rPr>
          <w:rFonts w:ascii="Garamond" w:eastAsia="Times New Roman" w:hAnsi="Garamond" w:cs="Garamond"/>
          <w:color w:val="000000"/>
          <w:sz w:val="24"/>
          <w:szCs w:val="24"/>
          <w:lang w:eastAsia="en-US"/>
        </w:rPr>
        <w:t xml:space="preserve"> period Mesopotamia” in </w:t>
      </w:r>
      <w:r w:rsidRPr="005B0A67">
        <w:rPr>
          <w:rFonts w:ascii="Garamond" w:eastAsia="Times New Roman" w:hAnsi="Garamond" w:cs="Garamond"/>
          <w:color w:val="000000"/>
          <w:spacing w:val="-3"/>
          <w:sz w:val="24"/>
          <w:szCs w:val="24"/>
          <w:lang w:eastAsia="en-US"/>
        </w:rPr>
        <w:t>M. Rothman (ed.) </w:t>
      </w:r>
      <w:proofErr w:type="spellStart"/>
      <w:r w:rsidRPr="005B0A67">
        <w:rPr>
          <w:rFonts w:ascii="Garamond" w:eastAsia="Times New Roman" w:hAnsi="Garamond" w:cs="Garamond"/>
          <w:i/>
          <w:iCs/>
          <w:color w:val="000000"/>
          <w:spacing w:val="-3"/>
          <w:sz w:val="24"/>
          <w:szCs w:val="24"/>
          <w:lang w:eastAsia="en-US"/>
        </w:rPr>
        <w:t>Uruk</w:t>
      </w:r>
      <w:proofErr w:type="spellEnd"/>
      <w:r w:rsidRPr="005B0A67">
        <w:rPr>
          <w:rFonts w:ascii="Garamond" w:eastAsia="Times New Roman" w:hAnsi="Garamond" w:cs="Garamond"/>
          <w:i/>
          <w:iCs/>
          <w:color w:val="000000"/>
          <w:spacing w:val="-3"/>
          <w:sz w:val="24"/>
          <w:szCs w:val="24"/>
          <w:lang w:eastAsia="en-US"/>
        </w:rPr>
        <w:t xml:space="preserve"> Mesopotamia and its Neighbors: Cross-cultural Interactions and their Consequences in the Era of State Formation.</w:t>
      </w:r>
      <w:r w:rsidRPr="005B0A67">
        <w:rPr>
          <w:rFonts w:ascii="Garamond" w:eastAsia="Times New Roman" w:hAnsi="Garamond" w:cs="Garamond"/>
          <w:color w:val="000000"/>
          <w:spacing w:val="-3"/>
          <w:sz w:val="24"/>
          <w:szCs w:val="24"/>
          <w:lang w:eastAsia="en-US"/>
        </w:rPr>
        <w:t> Santa Fe: School of the Americas</w:t>
      </w:r>
    </w:p>
    <w:p w:rsidR="00B749E2" w:rsidRPr="005B0A67" w:rsidRDefault="00B749E2" w:rsidP="00B749E2">
      <w:pPr>
        <w:ind w:left="720" w:hanging="720"/>
        <w:rPr>
          <w:rFonts w:ascii="Garamond" w:eastAsia="Times New Roman" w:hAnsi="Garamond" w:cs="Times New Roman"/>
          <w:sz w:val="24"/>
          <w:szCs w:val="24"/>
          <w:lang w:eastAsia="en-US"/>
        </w:rPr>
      </w:pPr>
      <w:r w:rsidRPr="005B0A67">
        <w:rPr>
          <w:rFonts w:ascii="Garamond" w:eastAsia="Times New Roman" w:hAnsi="Garamond" w:cs="Garamond"/>
          <w:color w:val="000000"/>
          <w:sz w:val="24"/>
          <w:szCs w:val="24"/>
          <w:lang w:eastAsia="en-US"/>
        </w:rPr>
        <w:t xml:space="preserve">Anderson, E. N. and Christopher Chase-Dunn 2005. “The Rise and Fall of Great Powers” in Christopher Chase-Dunn and E.N. Anderson (eds.) </w:t>
      </w:r>
      <w:hyperlink r:id="rId20" w:anchor="histevo" w:history="1">
        <w:r w:rsidRPr="005B0A67">
          <w:rPr>
            <w:rFonts w:ascii="Garamond" w:eastAsia="Times New Roman" w:hAnsi="Garamond" w:cs="Garamond"/>
            <w:i/>
            <w:iCs/>
            <w:sz w:val="24"/>
            <w:szCs w:val="24"/>
            <w:lang w:eastAsia="en-US"/>
          </w:rPr>
          <w:t>The Historical Evolution of World-Systems</w:t>
        </w:r>
      </w:hyperlink>
      <w:r w:rsidRPr="005B0A67">
        <w:rPr>
          <w:rFonts w:ascii="Garamond" w:eastAsia="Times New Roman" w:hAnsi="Garamond" w:cs="Garamond"/>
          <w:color w:val="000000"/>
          <w:sz w:val="24"/>
          <w:szCs w:val="24"/>
          <w:lang w:eastAsia="en-US"/>
        </w:rPr>
        <w:t>. London: Palgrave.</w:t>
      </w:r>
    </w:p>
    <w:p w:rsidR="0036146F" w:rsidRPr="005B0A67" w:rsidRDefault="004263DA" w:rsidP="00B749E2">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Álvarez</w:t>
      </w:r>
      <w:proofErr w:type="spellEnd"/>
      <w:r w:rsidRPr="005B0A67">
        <w:rPr>
          <w:rFonts w:ascii="Garamond" w:eastAsia="Times New Roman" w:hAnsi="Garamond" w:cs="Times New Roman"/>
          <w:color w:val="000000"/>
          <w:sz w:val="24"/>
          <w:szCs w:val="24"/>
          <w:lang w:eastAsia="en-US"/>
        </w:rPr>
        <w:t>, Alexis.  E.N. Anderson, </w:t>
      </w:r>
      <w:proofErr w:type="spellStart"/>
      <w:r w:rsidRPr="005B0A67">
        <w:rPr>
          <w:rFonts w:ascii="Garamond" w:eastAsia="Times New Roman" w:hAnsi="Garamond" w:cs="Times New Roman"/>
          <w:color w:val="000000"/>
          <w:sz w:val="24"/>
          <w:szCs w:val="24"/>
          <w:lang w:eastAsia="en-US"/>
        </w:rPr>
        <w:t>Elisse</w:t>
      </w:r>
      <w:proofErr w:type="spellEnd"/>
      <w:r w:rsidRPr="005B0A67">
        <w:rPr>
          <w:rFonts w:ascii="Garamond" w:eastAsia="Times New Roman" w:hAnsi="Garamond" w:cs="Times New Roman"/>
          <w:color w:val="000000"/>
          <w:sz w:val="24"/>
          <w:szCs w:val="24"/>
          <w:lang w:eastAsia="en-US"/>
        </w:rPr>
        <w:t> </w:t>
      </w:r>
      <w:proofErr w:type="spellStart"/>
      <w:r w:rsidRPr="005B0A67">
        <w:rPr>
          <w:rFonts w:ascii="Garamond" w:eastAsia="Times New Roman" w:hAnsi="Garamond" w:cs="Times New Roman"/>
          <w:color w:val="000000"/>
          <w:sz w:val="24"/>
          <w:szCs w:val="24"/>
          <w:lang w:eastAsia="en-US"/>
        </w:rPr>
        <w:t>Basmajian</w:t>
      </w:r>
      <w:proofErr w:type="spellEnd"/>
      <w:r w:rsidRPr="005B0A67">
        <w:rPr>
          <w:rFonts w:ascii="Garamond" w:eastAsia="Times New Roman" w:hAnsi="Garamond" w:cs="Times New Roman"/>
          <w:color w:val="000000"/>
          <w:sz w:val="24"/>
          <w:szCs w:val="24"/>
          <w:lang w:eastAsia="en-US"/>
        </w:rPr>
        <w:t>, Hiroko Inoue, Christian </w:t>
      </w:r>
      <w:proofErr w:type="spellStart"/>
      <w:r w:rsidRPr="005B0A67">
        <w:rPr>
          <w:rFonts w:ascii="Garamond" w:eastAsia="Times New Roman" w:hAnsi="Garamond" w:cs="Times New Roman"/>
          <w:color w:val="000000"/>
          <w:sz w:val="24"/>
          <w:szCs w:val="24"/>
          <w:lang w:eastAsia="en-US"/>
        </w:rPr>
        <w:t>Jaworski</w:t>
      </w:r>
      <w:proofErr w:type="spellEnd"/>
      <w:r w:rsidRPr="005B0A67">
        <w:rPr>
          <w:rFonts w:ascii="Garamond" w:eastAsia="Times New Roman" w:hAnsi="Garamond" w:cs="Times New Roman"/>
          <w:color w:val="000000"/>
          <w:sz w:val="24"/>
          <w:szCs w:val="24"/>
          <w:lang w:eastAsia="en-US"/>
        </w:rPr>
        <w:t>, Alina</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Khan, Kirk Lawrence, Andrew Owen, Anthony Roberts, </w:t>
      </w:r>
      <w:proofErr w:type="spellStart"/>
      <w:r w:rsidRPr="005B0A67">
        <w:rPr>
          <w:rFonts w:ascii="Garamond" w:eastAsia="Times New Roman" w:hAnsi="Garamond" w:cs="Times New Roman"/>
          <w:color w:val="000000"/>
          <w:sz w:val="24"/>
          <w:szCs w:val="24"/>
          <w:lang w:eastAsia="en-US"/>
        </w:rPr>
        <w:t>Panu</w:t>
      </w:r>
      <w:proofErr w:type="spellEnd"/>
      <w:r w:rsidRPr="005B0A67">
        <w:rPr>
          <w:rFonts w:ascii="Garamond" w:eastAsia="Times New Roman" w:hAnsi="Garamond" w:cs="Times New Roman"/>
          <w:color w:val="000000"/>
          <w:sz w:val="24"/>
          <w:szCs w:val="24"/>
          <w:lang w:eastAsia="en-US"/>
        </w:rPr>
        <w:t> </w:t>
      </w:r>
      <w:proofErr w:type="spellStart"/>
      <w:r w:rsidRPr="005B0A67">
        <w:rPr>
          <w:rFonts w:ascii="Garamond" w:eastAsia="Times New Roman" w:hAnsi="Garamond" w:cs="Times New Roman"/>
          <w:color w:val="000000"/>
          <w:sz w:val="24"/>
          <w:szCs w:val="24"/>
          <w:lang w:eastAsia="en-US"/>
        </w:rPr>
        <w:t>Suppatkul</w:t>
      </w:r>
      <w:proofErr w:type="spellEnd"/>
      <w:r w:rsidRPr="005B0A67">
        <w:rPr>
          <w:rFonts w:ascii="Garamond" w:eastAsia="Times New Roman" w:hAnsi="Garamond" w:cs="Times New Roman"/>
          <w:color w:val="000000"/>
          <w:sz w:val="24"/>
          <w:szCs w:val="24"/>
          <w:lang w:eastAsia="en-US"/>
        </w:rPr>
        <w:t> and</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Christopher Chase-</w:t>
      </w:r>
      <w:r w:rsidR="00AE5A18" w:rsidRPr="005B0A67">
        <w:rPr>
          <w:rFonts w:ascii="Garamond" w:eastAsia="Times New Roman" w:hAnsi="Garamond" w:cs="Times New Roman"/>
          <w:color w:val="000000"/>
          <w:sz w:val="24"/>
          <w:szCs w:val="24"/>
          <w:lang w:eastAsia="en-US"/>
        </w:rPr>
        <w:t>Dunn 2013</w:t>
      </w:r>
      <w:r w:rsidRPr="005B0A67">
        <w:rPr>
          <w:rFonts w:ascii="Garamond" w:eastAsia="Times New Roman" w:hAnsi="Garamond" w:cs="Times New Roman"/>
          <w:color w:val="000000"/>
          <w:sz w:val="24"/>
          <w:szCs w:val="24"/>
          <w:lang w:eastAsia="en-US"/>
        </w:rPr>
        <w:t xml:space="preserve"> Comparing World-Systems: Empire Upsweeps and</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Non-core marcher states Since the Bronze Age” Presented at the annual meeting of</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the American Sociological Association, New York, August</w:t>
      </w:r>
    </w:p>
    <w:p w:rsidR="00E57DED" w:rsidRPr="005B0A67" w:rsidRDefault="00E57DED"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ab/>
      </w:r>
      <w:hyperlink r:id="rId21" w:history="1">
        <w:r w:rsidRPr="005B0A67">
          <w:rPr>
            <w:rStyle w:val="Hyperlink"/>
            <w:rFonts w:ascii="Garamond" w:eastAsia="Times New Roman" w:hAnsi="Garamond" w:cs="Times New Roman"/>
            <w:sz w:val="24"/>
            <w:szCs w:val="24"/>
            <w:lang w:eastAsia="en-US"/>
          </w:rPr>
          <w:t>http://irows.ucr.edu/papers/irows56/irows56.htm</w:t>
        </w:r>
      </w:hyperlink>
    </w:p>
    <w:p w:rsidR="0036146F"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Amin, Samir 1980.  </w:t>
      </w:r>
      <w:r w:rsidRPr="005B0A67">
        <w:rPr>
          <w:rFonts w:ascii="Garamond" w:eastAsia="Times New Roman" w:hAnsi="Garamond" w:cs="Times New Roman"/>
          <w:i/>
          <w:iCs/>
          <w:color w:val="000000"/>
          <w:sz w:val="24"/>
          <w:szCs w:val="24"/>
          <w:lang w:eastAsia="en-US"/>
        </w:rPr>
        <w:t>Class and Nation, Historically and in the Current Crisis</w:t>
      </w:r>
      <w:r w:rsidRPr="005B0A67">
        <w:rPr>
          <w:rFonts w:ascii="Garamond" w:eastAsia="Times New Roman" w:hAnsi="Garamond" w:cs="Times New Roman"/>
          <w:color w:val="000000"/>
          <w:sz w:val="24"/>
          <w:szCs w:val="24"/>
          <w:lang w:eastAsia="en-US"/>
        </w:rPr>
        <w:t>. New York: Monthly</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Review Press.</w:t>
      </w:r>
    </w:p>
    <w:p w:rsidR="00696473"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Anderson, E. N. and Christopher Chase-Dunn “The Rise and Fall of Great Powers” in</w:t>
      </w:r>
      <w:r w:rsidR="004D0421" w:rsidRPr="005B0A67">
        <w:rPr>
          <w:rFonts w:ascii="Garamond" w:eastAsia="Times New Roman" w:hAnsi="Garamond" w:cs="Times New Roman"/>
          <w:color w:val="000000"/>
          <w:sz w:val="24"/>
          <w:szCs w:val="24"/>
          <w:lang w:eastAsia="en-US"/>
        </w:rPr>
        <w:t xml:space="preserve"> </w:t>
      </w:r>
      <w:r w:rsidR="0036146F" w:rsidRPr="005B0A67">
        <w:rPr>
          <w:rFonts w:ascii="Garamond" w:eastAsia="Times New Roman" w:hAnsi="Garamond" w:cs="Times New Roman"/>
          <w:color w:val="000000"/>
          <w:sz w:val="24"/>
          <w:szCs w:val="24"/>
          <w:lang w:eastAsia="en-US"/>
        </w:rPr>
        <w:t>Christopher Chase- D</w:t>
      </w:r>
      <w:r w:rsidR="00784171" w:rsidRPr="005B0A67">
        <w:rPr>
          <w:rFonts w:ascii="Garamond" w:eastAsia="Times New Roman" w:hAnsi="Garamond" w:cs="Times New Roman"/>
          <w:color w:val="000000"/>
          <w:sz w:val="24"/>
          <w:szCs w:val="24"/>
          <w:lang w:eastAsia="en-US"/>
        </w:rPr>
        <w:t xml:space="preserve">unn and </w:t>
      </w:r>
      <w:r w:rsidRPr="005B0A67">
        <w:rPr>
          <w:rFonts w:ascii="Garamond" w:eastAsia="Times New Roman" w:hAnsi="Garamond" w:cs="Times New Roman"/>
          <w:color w:val="000000"/>
          <w:sz w:val="24"/>
          <w:szCs w:val="24"/>
          <w:lang w:eastAsia="en-US"/>
        </w:rPr>
        <w:t>E.N. Anderson (eds.) 2005.  </w:t>
      </w:r>
      <w:hyperlink r:id="rId22" w:anchor="histevo" w:history="1">
        <w:r w:rsidRPr="005B0A67">
          <w:rPr>
            <w:rFonts w:ascii="Garamond" w:eastAsia="Times New Roman" w:hAnsi="Garamond" w:cs="Times New Roman"/>
            <w:i/>
            <w:iCs/>
            <w:color w:val="800080"/>
            <w:sz w:val="24"/>
            <w:szCs w:val="24"/>
            <w:u w:val="single"/>
            <w:lang w:eastAsia="en-US"/>
          </w:rPr>
          <w:t>The Historical Evolution of World-Systems</w:t>
        </w:r>
      </w:hyperlink>
      <w:r w:rsidRPr="005B0A67">
        <w:rPr>
          <w:rFonts w:ascii="Garamond" w:eastAsia="Times New Roman" w:hAnsi="Garamond" w:cs="Times New Roman"/>
          <w:color w:val="000000"/>
          <w:sz w:val="24"/>
          <w:szCs w:val="24"/>
          <w:lang w:eastAsia="en-US"/>
        </w:rPr>
        <w:t>.</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London: Palgrave.</w:t>
      </w:r>
    </w:p>
    <w:p w:rsidR="004263DA" w:rsidRPr="005B0A67" w:rsidRDefault="004263DA" w:rsidP="00696473">
      <w:pPr>
        <w:jc w:val="both"/>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Arrighi</w:t>
      </w:r>
      <w:proofErr w:type="spellEnd"/>
      <w:r w:rsidRPr="005B0A67">
        <w:rPr>
          <w:rFonts w:ascii="Garamond" w:eastAsia="Times New Roman" w:hAnsi="Garamond" w:cs="Times New Roman"/>
          <w:color w:val="000000"/>
          <w:sz w:val="24"/>
          <w:szCs w:val="24"/>
          <w:lang w:eastAsia="en-US"/>
        </w:rPr>
        <w:t>, Giovanni 1994.  </w:t>
      </w:r>
      <w:r w:rsidRPr="005B0A67">
        <w:rPr>
          <w:rFonts w:ascii="Garamond" w:eastAsia="Times New Roman" w:hAnsi="Garamond" w:cs="Times New Roman"/>
          <w:i/>
          <w:iCs/>
          <w:color w:val="000000"/>
          <w:sz w:val="24"/>
          <w:szCs w:val="24"/>
          <w:lang w:eastAsia="en-US"/>
        </w:rPr>
        <w:t>The Long Twentieth Century</w:t>
      </w:r>
      <w:r w:rsidRPr="005B0A67">
        <w:rPr>
          <w:rFonts w:ascii="Garamond" w:eastAsia="Times New Roman" w:hAnsi="Garamond" w:cs="Times New Roman"/>
          <w:color w:val="000000"/>
          <w:sz w:val="24"/>
          <w:szCs w:val="24"/>
          <w:lang w:eastAsia="en-US"/>
        </w:rPr>
        <w:t>.  London:  Verso.</w:t>
      </w:r>
    </w:p>
    <w:p w:rsidR="004263DA" w:rsidRPr="005B0A67" w:rsidRDefault="004D0421" w:rsidP="00696473">
      <w:pPr>
        <w:spacing w:line="300" w:lineRule="atLeast"/>
        <w:ind w:left="720" w:hanging="720"/>
        <w:textAlignment w:val="baseline"/>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2008 </w:t>
      </w:r>
      <w:r w:rsidR="004263DA" w:rsidRPr="005B0A67">
        <w:rPr>
          <w:rFonts w:ascii="Garamond" w:eastAsia="Times New Roman" w:hAnsi="Garamond" w:cs="Times New Roman"/>
          <w:i/>
          <w:iCs/>
          <w:color w:val="000000"/>
          <w:sz w:val="24"/>
          <w:szCs w:val="24"/>
          <w:lang w:eastAsia="en-US"/>
        </w:rPr>
        <w:t>Adam Smith in Beijing</w:t>
      </w:r>
      <w:r w:rsidR="004263DA" w:rsidRPr="005B0A67">
        <w:rPr>
          <w:rFonts w:ascii="Garamond" w:eastAsia="Times New Roman" w:hAnsi="Garamond" w:cs="Times New Roman"/>
          <w:color w:val="000000"/>
          <w:sz w:val="24"/>
          <w:szCs w:val="24"/>
          <w:lang w:eastAsia="en-US"/>
        </w:rPr>
        <w:t>. London: Verso.</w:t>
      </w:r>
    </w:p>
    <w:p w:rsidR="00696473"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Arrighi</w:t>
      </w:r>
      <w:proofErr w:type="spellEnd"/>
      <w:r w:rsidRPr="005B0A67">
        <w:rPr>
          <w:rFonts w:ascii="Garamond" w:eastAsia="Times New Roman" w:hAnsi="Garamond" w:cs="Times New Roman"/>
          <w:color w:val="000000"/>
          <w:sz w:val="24"/>
          <w:szCs w:val="24"/>
          <w:lang w:eastAsia="en-US"/>
        </w:rPr>
        <w:t>, Giovanni, Takeshi </w:t>
      </w:r>
      <w:proofErr w:type="spellStart"/>
      <w:r w:rsidRPr="005B0A67">
        <w:rPr>
          <w:rFonts w:ascii="Garamond" w:eastAsia="Times New Roman" w:hAnsi="Garamond" w:cs="Times New Roman"/>
          <w:color w:val="000000"/>
          <w:sz w:val="24"/>
          <w:szCs w:val="24"/>
          <w:lang w:eastAsia="en-US"/>
        </w:rPr>
        <w:t>Hamashita</w:t>
      </w:r>
      <w:proofErr w:type="spellEnd"/>
      <w:r w:rsidRPr="005B0A67">
        <w:rPr>
          <w:rFonts w:ascii="Garamond" w:eastAsia="Times New Roman" w:hAnsi="Garamond" w:cs="Times New Roman"/>
          <w:color w:val="000000"/>
          <w:sz w:val="24"/>
          <w:szCs w:val="24"/>
          <w:lang w:eastAsia="en-US"/>
        </w:rPr>
        <w:t>, and Mark Selden 2003 </w:t>
      </w:r>
      <w:r w:rsidRPr="005B0A67">
        <w:rPr>
          <w:rFonts w:ascii="Garamond" w:eastAsia="Times New Roman" w:hAnsi="Garamond" w:cs="Times New Roman"/>
          <w:i/>
          <w:iCs/>
          <w:color w:val="000000"/>
          <w:sz w:val="24"/>
          <w:szCs w:val="24"/>
          <w:lang w:eastAsia="en-US"/>
        </w:rPr>
        <w:t xml:space="preserve">The Resurgence of East </w:t>
      </w:r>
      <w:r w:rsidR="004D0421" w:rsidRPr="005B0A67">
        <w:rPr>
          <w:rFonts w:ascii="Garamond" w:eastAsia="Times New Roman" w:hAnsi="Garamond" w:cs="Times New Roman"/>
          <w:i/>
          <w:iCs/>
          <w:color w:val="000000"/>
          <w:sz w:val="24"/>
          <w:szCs w:val="24"/>
          <w:lang w:eastAsia="en-US"/>
        </w:rPr>
        <w:t>Asia:</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i/>
          <w:iCs/>
          <w:color w:val="000000"/>
          <w:sz w:val="24"/>
          <w:szCs w:val="24"/>
          <w:lang w:eastAsia="en-US"/>
        </w:rPr>
        <w:t>500, 150 and 50 Year Perspectives</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London: Routledge</w:t>
      </w:r>
    </w:p>
    <w:p w:rsidR="008E41E5" w:rsidRPr="005B0A67" w:rsidRDefault="008E41E5" w:rsidP="008E41E5">
      <w:pPr>
        <w:autoSpaceDE w:val="0"/>
        <w:autoSpaceDN w:val="0"/>
        <w:adjustRightInd w:val="0"/>
        <w:ind w:left="720" w:hanging="720"/>
        <w:rPr>
          <w:rFonts w:ascii="Garamond" w:hAnsi="Garamond"/>
          <w:sz w:val="24"/>
          <w:szCs w:val="24"/>
        </w:rPr>
      </w:pPr>
      <w:r w:rsidRPr="005B0A67">
        <w:rPr>
          <w:rFonts w:ascii="Garamond" w:hAnsi="Garamond" w:cs="Times New Roman"/>
          <w:bCs/>
          <w:sz w:val="24"/>
          <w:szCs w:val="24"/>
        </w:rPr>
        <w:t xml:space="preserve">ARVE Population World Atlas </w:t>
      </w:r>
      <w:hyperlink r:id="rId23" w:tgtFrame="_blank" w:history="1">
        <w:r w:rsidRPr="005B0A67">
          <w:rPr>
            <w:rFonts w:ascii="Garamond" w:hAnsi="Garamond"/>
            <w:color w:val="0000FF"/>
            <w:sz w:val="24"/>
            <w:szCs w:val="24"/>
            <w:u w:val="single"/>
          </w:rPr>
          <w:t>http://arve.unil.ch/popmap</w:t>
        </w:r>
      </w:hyperlink>
    </w:p>
    <w:p w:rsidR="008E41E5" w:rsidRPr="005B0A67" w:rsidRDefault="008E41E5" w:rsidP="008E41E5">
      <w:pPr>
        <w:autoSpaceDE w:val="0"/>
        <w:autoSpaceDN w:val="0"/>
        <w:adjustRightInd w:val="0"/>
        <w:ind w:left="720" w:hanging="720"/>
        <w:rPr>
          <w:rStyle w:val="Strong"/>
          <w:rFonts w:ascii="Garamond" w:hAnsi="Garamond"/>
          <w:b w:val="0"/>
          <w:color w:val="000000"/>
          <w:sz w:val="24"/>
          <w:szCs w:val="24"/>
          <w:shd w:val="clear" w:color="auto" w:fill="FFFFFF"/>
        </w:rPr>
      </w:pPr>
      <w:proofErr w:type="spellStart"/>
      <w:r w:rsidRPr="005B0A67">
        <w:rPr>
          <w:rFonts w:ascii="Garamond" w:hAnsi="Garamond"/>
          <w:sz w:val="24"/>
          <w:szCs w:val="24"/>
        </w:rPr>
        <w:t>Bairoch</w:t>
      </w:r>
      <w:proofErr w:type="spellEnd"/>
      <w:r w:rsidRPr="005B0A67">
        <w:rPr>
          <w:rFonts w:ascii="Garamond" w:hAnsi="Garamond"/>
          <w:sz w:val="24"/>
          <w:szCs w:val="24"/>
        </w:rPr>
        <w:t xml:space="preserve">, Paul 1988 </w:t>
      </w:r>
      <w:r w:rsidRPr="005B0A67">
        <w:rPr>
          <w:rStyle w:val="Strong"/>
          <w:rFonts w:ascii="Garamond" w:hAnsi="Garamond"/>
          <w:b w:val="0"/>
          <w:i/>
          <w:color w:val="000000"/>
          <w:sz w:val="24"/>
          <w:szCs w:val="24"/>
          <w:shd w:val="clear" w:color="auto" w:fill="FFFFFF"/>
        </w:rPr>
        <w:t xml:space="preserve">Cities and economic development: from the dawn of history to the present </w:t>
      </w:r>
      <w:r w:rsidRPr="005B0A67">
        <w:rPr>
          <w:rStyle w:val="Strong"/>
          <w:rFonts w:ascii="Garamond" w:hAnsi="Garamond"/>
          <w:b w:val="0"/>
          <w:color w:val="000000"/>
          <w:sz w:val="24"/>
          <w:szCs w:val="24"/>
          <w:shd w:val="clear" w:color="auto" w:fill="FFFFFF"/>
        </w:rPr>
        <w:t>Chicago: University of Chicago Press</w:t>
      </w:r>
    </w:p>
    <w:p w:rsidR="008E41E5" w:rsidRPr="005B0A67" w:rsidRDefault="008E41E5" w:rsidP="008E41E5">
      <w:pPr>
        <w:autoSpaceDE w:val="0"/>
        <w:autoSpaceDN w:val="0"/>
        <w:adjustRightInd w:val="0"/>
        <w:ind w:left="720" w:hanging="720"/>
        <w:rPr>
          <w:rStyle w:val="Strong"/>
          <w:rFonts w:ascii="Garamond" w:hAnsi="Garamond"/>
          <w:b w:val="0"/>
          <w:color w:val="000000"/>
          <w:sz w:val="24"/>
          <w:szCs w:val="24"/>
          <w:shd w:val="clear" w:color="auto" w:fill="FFFFFF"/>
        </w:rPr>
      </w:pPr>
      <w:proofErr w:type="spellStart"/>
      <w:r w:rsidRPr="005B0A67">
        <w:rPr>
          <w:rStyle w:val="Strong"/>
          <w:rFonts w:ascii="Garamond" w:hAnsi="Garamond"/>
          <w:b w:val="0"/>
          <w:color w:val="000000"/>
          <w:sz w:val="24"/>
          <w:szCs w:val="24"/>
          <w:shd w:val="clear" w:color="auto" w:fill="FFFFFF"/>
        </w:rPr>
        <w:t>Bairoch</w:t>
      </w:r>
      <w:proofErr w:type="spellEnd"/>
      <w:r w:rsidRPr="005B0A67">
        <w:rPr>
          <w:rStyle w:val="Strong"/>
          <w:rFonts w:ascii="Garamond" w:hAnsi="Garamond"/>
          <w:b w:val="0"/>
          <w:color w:val="000000"/>
          <w:sz w:val="24"/>
          <w:szCs w:val="24"/>
          <w:shd w:val="clear" w:color="auto" w:fill="FFFFFF"/>
        </w:rPr>
        <w:t xml:space="preserve">, Paul, Jean </w:t>
      </w:r>
      <w:proofErr w:type="spellStart"/>
      <w:r w:rsidRPr="005B0A67">
        <w:rPr>
          <w:rStyle w:val="Strong"/>
          <w:rFonts w:ascii="Garamond" w:hAnsi="Garamond"/>
          <w:b w:val="0"/>
          <w:color w:val="000000"/>
          <w:sz w:val="24"/>
          <w:szCs w:val="24"/>
          <w:shd w:val="clear" w:color="auto" w:fill="FFFFFF"/>
        </w:rPr>
        <w:t>Batou</w:t>
      </w:r>
      <w:proofErr w:type="spellEnd"/>
      <w:r w:rsidRPr="005B0A67">
        <w:rPr>
          <w:rStyle w:val="Strong"/>
          <w:rFonts w:ascii="Garamond" w:hAnsi="Garamond"/>
          <w:b w:val="0"/>
          <w:color w:val="000000"/>
          <w:sz w:val="24"/>
          <w:szCs w:val="24"/>
          <w:shd w:val="clear" w:color="auto" w:fill="FFFFFF"/>
        </w:rPr>
        <w:t xml:space="preserve"> and Pierre </w:t>
      </w:r>
      <w:proofErr w:type="spellStart"/>
      <w:r w:rsidRPr="005B0A67">
        <w:rPr>
          <w:rStyle w:val="Strong"/>
          <w:rFonts w:ascii="Garamond" w:hAnsi="Garamond"/>
          <w:b w:val="0"/>
          <w:color w:val="000000"/>
          <w:sz w:val="24"/>
          <w:szCs w:val="24"/>
          <w:shd w:val="clear" w:color="auto" w:fill="FFFFFF"/>
        </w:rPr>
        <w:t>Chevre</w:t>
      </w:r>
      <w:proofErr w:type="spellEnd"/>
      <w:r w:rsidRPr="005B0A67">
        <w:rPr>
          <w:rStyle w:val="Strong"/>
          <w:rFonts w:ascii="Garamond" w:hAnsi="Garamond"/>
          <w:b w:val="0"/>
          <w:color w:val="000000"/>
          <w:sz w:val="24"/>
          <w:szCs w:val="24"/>
          <w:shd w:val="clear" w:color="auto" w:fill="FFFFFF"/>
        </w:rPr>
        <w:t xml:space="preserve"> 1988 </w:t>
      </w:r>
      <w:r w:rsidRPr="005B0A67">
        <w:rPr>
          <w:rStyle w:val="Strong"/>
          <w:rFonts w:ascii="Garamond" w:hAnsi="Garamond"/>
          <w:b w:val="0"/>
          <w:i/>
          <w:color w:val="000000"/>
          <w:sz w:val="24"/>
          <w:szCs w:val="24"/>
          <w:shd w:val="clear" w:color="auto" w:fill="FFFFFF"/>
        </w:rPr>
        <w:t>The Population of European Cities, 800 to 1850: Data Bank and Short Summary of Results</w:t>
      </w:r>
      <w:r w:rsidRPr="005B0A67">
        <w:rPr>
          <w:rStyle w:val="Strong"/>
          <w:rFonts w:ascii="Garamond" w:hAnsi="Garamond"/>
          <w:b w:val="0"/>
          <w:color w:val="000000"/>
          <w:sz w:val="24"/>
          <w:szCs w:val="24"/>
          <w:shd w:val="clear" w:color="auto" w:fill="FFFFFF"/>
        </w:rPr>
        <w:t xml:space="preserve">. Geneva: </w:t>
      </w:r>
      <w:proofErr w:type="spellStart"/>
      <w:r w:rsidRPr="005B0A67">
        <w:rPr>
          <w:rStyle w:val="Strong"/>
          <w:rFonts w:ascii="Garamond" w:hAnsi="Garamond"/>
          <w:b w:val="0"/>
          <w:color w:val="000000"/>
          <w:sz w:val="24"/>
          <w:szCs w:val="24"/>
          <w:shd w:val="clear" w:color="auto" w:fill="FFFFFF"/>
        </w:rPr>
        <w:t>Librairie</w:t>
      </w:r>
      <w:proofErr w:type="spellEnd"/>
      <w:r w:rsidRPr="005B0A67">
        <w:rPr>
          <w:rStyle w:val="Strong"/>
          <w:rFonts w:ascii="Garamond" w:hAnsi="Garamond"/>
          <w:b w:val="0"/>
          <w:color w:val="000000"/>
          <w:sz w:val="24"/>
          <w:szCs w:val="24"/>
          <w:shd w:val="clear" w:color="auto" w:fill="FFFFFF"/>
        </w:rPr>
        <w:t xml:space="preserve"> </w:t>
      </w:r>
      <w:proofErr w:type="spellStart"/>
      <w:r w:rsidRPr="005B0A67">
        <w:rPr>
          <w:rStyle w:val="Strong"/>
          <w:rFonts w:ascii="Garamond" w:hAnsi="Garamond"/>
          <w:b w:val="0"/>
          <w:color w:val="000000"/>
          <w:sz w:val="24"/>
          <w:szCs w:val="24"/>
          <w:shd w:val="clear" w:color="auto" w:fill="FFFFFF"/>
        </w:rPr>
        <w:t>Droz</w:t>
      </w:r>
      <w:proofErr w:type="spellEnd"/>
      <w:r w:rsidRPr="005B0A67">
        <w:rPr>
          <w:rStyle w:val="Strong"/>
          <w:rFonts w:ascii="Garamond" w:hAnsi="Garamond"/>
          <w:b w:val="0"/>
          <w:color w:val="000000"/>
          <w:sz w:val="24"/>
          <w:szCs w:val="24"/>
          <w:shd w:val="clear" w:color="auto" w:fill="FFFFFF"/>
        </w:rPr>
        <w:t xml:space="preserve">, 11 rue </w:t>
      </w:r>
      <w:proofErr w:type="spellStart"/>
      <w:r w:rsidRPr="005B0A67">
        <w:rPr>
          <w:rStyle w:val="Strong"/>
          <w:rFonts w:ascii="Garamond" w:hAnsi="Garamond"/>
          <w:b w:val="0"/>
          <w:color w:val="000000"/>
          <w:sz w:val="24"/>
          <w:szCs w:val="24"/>
          <w:shd w:val="clear" w:color="auto" w:fill="FFFFFF"/>
        </w:rPr>
        <w:t>Massot</w:t>
      </w:r>
      <w:proofErr w:type="spellEnd"/>
      <w:r w:rsidRPr="005B0A67">
        <w:rPr>
          <w:rStyle w:val="Strong"/>
          <w:rFonts w:ascii="Garamond" w:hAnsi="Garamond"/>
          <w:b w:val="0"/>
          <w:color w:val="000000"/>
          <w:sz w:val="24"/>
          <w:szCs w:val="24"/>
          <w:shd w:val="clear" w:color="auto" w:fill="FFFFFF"/>
        </w:rPr>
        <w:t>.</w:t>
      </w:r>
    </w:p>
    <w:p w:rsidR="008E41E5" w:rsidRPr="005B0A67" w:rsidRDefault="008E41E5" w:rsidP="008E41E5">
      <w:pPr>
        <w:autoSpaceDE w:val="0"/>
        <w:autoSpaceDN w:val="0"/>
        <w:adjustRightInd w:val="0"/>
        <w:ind w:left="720" w:hanging="720"/>
        <w:rPr>
          <w:rStyle w:val="Strong"/>
          <w:rFonts w:ascii="Garamond" w:hAnsi="Garamond"/>
          <w:color w:val="000000"/>
          <w:sz w:val="24"/>
          <w:szCs w:val="24"/>
          <w:shd w:val="clear" w:color="auto" w:fill="FFFFFF"/>
        </w:rPr>
      </w:pPr>
      <w:r w:rsidRPr="005B0A67">
        <w:rPr>
          <w:rStyle w:val="Strong"/>
          <w:rFonts w:ascii="Garamond" w:hAnsi="Garamond"/>
          <w:b w:val="0"/>
          <w:color w:val="000000"/>
          <w:sz w:val="24"/>
          <w:szCs w:val="24"/>
          <w:shd w:val="clear" w:color="auto" w:fill="FFFFFF"/>
        </w:rPr>
        <w:tab/>
        <w:t xml:space="preserve">. 1988 The population of European cities. Data bank and short summary of results: 800-1850, La population des </w:t>
      </w:r>
      <w:proofErr w:type="spellStart"/>
      <w:r w:rsidRPr="005B0A67">
        <w:rPr>
          <w:rStyle w:val="Strong"/>
          <w:rFonts w:ascii="Garamond" w:hAnsi="Garamond"/>
          <w:b w:val="0"/>
          <w:color w:val="000000"/>
          <w:sz w:val="24"/>
          <w:szCs w:val="24"/>
          <w:shd w:val="clear" w:color="auto" w:fill="FFFFFF"/>
        </w:rPr>
        <w:t>villes</w:t>
      </w:r>
      <w:proofErr w:type="spellEnd"/>
      <w:r w:rsidRPr="005B0A67">
        <w:rPr>
          <w:rStyle w:val="Strong"/>
          <w:rFonts w:ascii="Garamond" w:hAnsi="Garamond"/>
          <w:b w:val="0"/>
          <w:color w:val="000000"/>
          <w:sz w:val="24"/>
          <w:szCs w:val="24"/>
          <w:shd w:val="clear" w:color="auto" w:fill="FFFFFF"/>
        </w:rPr>
        <w:t xml:space="preserve"> </w:t>
      </w:r>
      <w:proofErr w:type="spellStart"/>
      <w:r w:rsidRPr="005B0A67">
        <w:rPr>
          <w:rStyle w:val="Strong"/>
          <w:rFonts w:ascii="Garamond" w:hAnsi="Garamond"/>
          <w:b w:val="0"/>
          <w:color w:val="000000"/>
          <w:sz w:val="24"/>
          <w:szCs w:val="24"/>
          <w:shd w:val="clear" w:color="auto" w:fill="FFFFFF"/>
        </w:rPr>
        <w:t>europeennes</w:t>
      </w:r>
      <w:proofErr w:type="spellEnd"/>
      <w:r w:rsidRPr="005B0A67">
        <w:rPr>
          <w:rStyle w:val="Strong"/>
          <w:rFonts w:ascii="Garamond" w:hAnsi="Garamond"/>
          <w:b w:val="0"/>
          <w:color w:val="000000"/>
          <w:sz w:val="24"/>
          <w:szCs w:val="24"/>
          <w:shd w:val="clear" w:color="auto" w:fill="FFFFFF"/>
        </w:rPr>
        <w:t xml:space="preserve">. </w:t>
      </w:r>
      <w:proofErr w:type="spellStart"/>
      <w:r w:rsidRPr="005B0A67">
        <w:rPr>
          <w:rStyle w:val="Strong"/>
          <w:rFonts w:ascii="Garamond" w:hAnsi="Garamond"/>
          <w:b w:val="0"/>
          <w:color w:val="000000"/>
          <w:sz w:val="24"/>
          <w:szCs w:val="24"/>
          <w:shd w:val="clear" w:color="auto" w:fill="FFFFFF"/>
        </w:rPr>
        <w:t>Banque</w:t>
      </w:r>
      <w:proofErr w:type="spellEnd"/>
      <w:r w:rsidRPr="005B0A67">
        <w:rPr>
          <w:rStyle w:val="Strong"/>
          <w:rFonts w:ascii="Garamond" w:hAnsi="Garamond"/>
          <w:b w:val="0"/>
          <w:color w:val="000000"/>
          <w:sz w:val="24"/>
          <w:szCs w:val="24"/>
          <w:shd w:val="clear" w:color="auto" w:fill="FFFFFF"/>
        </w:rPr>
        <w:t xml:space="preserve"> de </w:t>
      </w:r>
      <w:proofErr w:type="spellStart"/>
      <w:r w:rsidRPr="005B0A67">
        <w:rPr>
          <w:rStyle w:val="Strong"/>
          <w:rFonts w:ascii="Garamond" w:hAnsi="Garamond"/>
          <w:b w:val="0"/>
          <w:color w:val="000000"/>
          <w:sz w:val="24"/>
          <w:szCs w:val="24"/>
          <w:shd w:val="clear" w:color="auto" w:fill="FFFFFF"/>
        </w:rPr>
        <w:t>donnees</w:t>
      </w:r>
      <w:proofErr w:type="spellEnd"/>
      <w:r w:rsidRPr="005B0A67">
        <w:rPr>
          <w:rStyle w:val="Strong"/>
          <w:rFonts w:ascii="Garamond" w:hAnsi="Garamond"/>
          <w:b w:val="0"/>
          <w:color w:val="000000"/>
          <w:sz w:val="24"/>
          <w:szCs w:val="24"/>
          <w:shd w:val="clear" w:color="auto" w:fill="FFFFFF"/>
        </w:rPr>
        <w:t xml:space="preserve"> et </w:t>
      </w:r>
      <w:proofErr w:type="spellStart"/>
      <w:r w:rsidRPr="005B0A67">
        <w:rPr>
          <w:rStyle w:val="Strong"/>
          <w:rFonts w:ascii="Garamond" w:hAnsi="Garamond"/>
          <w:b w:val="0"/>
          <w:color w:val="000000"/>
          <w:sz w:val="24"/>
          <w:szCs w:val="24"/>
          <w:shd w:val="clear" w:color="auto" w:fill="FFFFFF"/>
        </w:rPr>
        <w:t>analyse</w:t>
      </w:r>
      <w:proofErr w:type="spellEnd"/>
      <w:r w:rsidRPr="005B0A67">
        <w:rPr>
          <w:rStyle w:val="Strong"/>
          <w:rFonts w:ascii="Garamond" w:hAnsi="Garamond"/>
          <w:b w:val="0"/>
          <w:color w:val="000000"/>
          <w:sz w:val="24"/>
          <w:szCs w:val="24"/>
          <w:shd w:val="clear" w:color="auto" w:fill="FFFFFF"/>
        </w:rPr>
        <w:t xml:space="preserve"> </w:t>
      </w:r>
      <w:proofErr w:type="spellStart"/>
      <w:r w:rsidRPr="005B0A67">
        <w:rPr>
          <w:rStyle w:val="Strong"/>
          <w:rFonts w:ascii="Garamond" w:hAnsi="Garamond"/>
          <w:b w:val="0"/>
          <w:color w:val="000000"/>
          <w:sz w:val="24"/>
          <w:szCs w:val="24"/>
          <w:shd w:val="clear" w:color="auto" w:fill="FFFFFF"/>
        </w:rPr>
        <w:t>sommaire</w:t>
      </w:r>
      <w:proofErr w:type="spellEnd"/>
      <w:r w:rsidRPr="005B0A67">
        <w:rPr>
          <w:rStyle w:val="Strong"/>
          <w:rFonts w:ascii="Garamond" w:hAnsi="Garamond"/>
          <w:b w:val="0"/>
          <w:color w:val="000000"/>
          <w:sz w:val="24"/>
          <w:szCs w:val="24"/>
          <w:shd w:val="clear" w:color="auto" w:fill="FFFFFF"/>
        </w:rPr>
        <w:t xml:space="preserve"> des </w:t>
      </w:r>
      <w:proofErr w:type="spellStart"/>
      <w:r w:rsidRPr="005B0A67">
        <w:rPr>
          <w:rStyle w:val="Strong"/>
          <w:rFonts w:ascii="Garamond" w:hAnsi="Garamond"/>
          <w:b w:val="0"/>
          <w:color w:val="000000"/>
          <w:sz w:val="24"/>
          <w:szCs w:val="24"/>
          <w:shd w:val="clear" w:color="auto" w:fill="FFFFFF"/>
        </w:rPr>
        <w:t>resultats</w:t>
      </w:r>
      <w:proofErr w:type="spellEnd"/>
      <w:r w:rsidRPr="005B0A67">
        <w:rPr>
          <w:rStyle w:val="Strong"/>
          <w:rFonts w:ascii="Garamond" w:hAnsi="Garamond"/>
          <w:b w:val="0"/>
          <w:color w:val="000000"/>
          <w:sz w:val="24"/>
          <w:szCs w:val="24"/>
          <w:shd w:val="clear" w:color="auto" w:fill="FFFFFF"/>
        </w:rPr>
        <w:t xml:space="preserve">: 800-1850. Geneva, Switzerland, </w:t>
      </w:r>
      <w:proofErr w:type="spellStart"/>
      <w:r w:rsidRPr="005B0A67">
        <w:rPr>
          <w:rStyle w:val="Strong"/>
          <w:rFonts w:ascii="Garamond" w:hAnsi="Garamond"/>
          <w:b w:val="0"/>
          <w:color w:val="000000"/>
          <w:sz w:val="24"/>
          <w:szCs w:val="24"/>
          <w:shd w:val="clear" w:color="auto" w:fill="FFFFFF"/>
        </w:rPr>
        <w:t>Librairie</w:t>
      </w:r>
      <w:proofErr w:type="spellEnd"/>
      <w:r w:rsidRPr="005B0A67">
        <w:rPr>
          <w:rStyle w:val="Strong"/>
          <w:rFonts w:ascii="Garamond" w:hAnsi="Garamond"/>
          <w:b w:val="0"/>
          <w:color w:val="000000"/>
          <w:sz w:val="24"/>
          <w:szCs w:val="24"/>
          <w:shd w:val="clear" w:color="auto" w:fill="FFFFFF"/>
        </w:rPr>
        <w:t xml:space="preserve"> </w:t>
      </w:r>
      <w:proofErr w:type="spellStart"/>
      <w:r w:rsidRPr="005B0A67">
        <w:rPr>
          <w:rStyle w:val="Strong"/>
          <w:rFonts w:ascii="Garamond" w:hAnsi="Garamond"/>
          <w:b w:val="0"/>
          <w:color w:val="000000"/>
          <w:sz w:val="24"/>
          <w:szCs w:val="24"/>
          <w:shd w:val="clear" w:color="auto" w:fill="FFFFFF"/>
        </w:rPr>
        <w:t>Droz</w:t>
      </w:r>
      <w:proofErr w:type="spellEnd"/>
      <w:r w:rsidRPr="005B0A67">
        <w:rPr>
          <w:rStyle w:val="Strong"/>
          <w:rFonts w:ascii="Garamond" w:hAnsi="Garamond"/>
          <w:b w:val="0"/>
          <w:color w:val="000000"/>
          <w:sz w:val="24"/>
          <w:szCs w:val="24"/>
          <w:shd w:val="clear" w:color="auto" w:fill="FFFFFF"/>
        </w:rPr>
        <w:t xml:space="preserve">.  </w:t>
      </w:r>
      <w:hyperlink r:id="rId24" w:history="1">
        <w:r w:rsidRPr="005B0A67">
          <w:rPr>
            <w:rStyle w:val="Hyperlink"/>
            <w:rFonts w:ascii="Garamond" w:hAnsi="Garamond" w:cs="Courier New"/>
            <w:sz w:val="24"/>
            <w:szCs w:val="24"/>
            <w:shd w:val="clear" w:color="auto" w:fill="FFFFFF"/>
          </w:rPr>
          <w:t>http://www.popline.org/node/366534</w:t>
        </w:r>
      </w:hyperlink>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Barfield, Thomas J. 1989 </w:t>
      </w:r>
      <w:r w:rsidRPr="005B0A67">
        <w:rPr>
          <w:rFonts w:ascii="Garamond" w:eastAsia="Times New Roman" w:hAnsi="Garamond" w:cs="Times New Roman"/>
          <w:i/>
          <w:iCs/>
          <w:color w:val="000000"/>
          <w:sz w:val="24"/>
          <w:szCs w:val="24"/>
          <w:lang w:eastAsia="en-US"/>
        </w:rPr>
        <w:t>The Perilous Frontier: Nomadic Empires and China</w:t>
      </w:r>
      <w:r w:rsidRPr="005B0A67">
        <w:rPr>
          <w:rFonts w:ascii="Garamond" w:eastAsia="Times New Roman" w:hAnsi="Garamond" w:cs="Times New Roman"/>
          <w:color w:val="000000"/>
          <w:sz w:val="24"/>
          <w:szCs w:val="24"/>
          <w:lang w:eastAsia="en-US"/>
        </w:rPr>
        <w:t>. Cambridge, MA.:</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Blackwell</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Beaujard</w:t>
      </w:r>
      <w:proofErr w:type="spellEnd"/>
      <w:r w:rsidRPr="005B0A67">
        <w:rPr>
          <w:rFonts w:ascii="Garamond" w:eastAsia="Times New Roman" w:hAnsi="Garamond" w:cs="Times New Roman"/>
          <w:color w:val="000000"/>
          <w:sz w:val="24"/>
          <w:szCs w:val="24"/>
          <w:lang w:eastAsia="en-US"/>
        </w:rPr>
        <w:t>, Philippe. 2005 “The Indian Ocean in Eurasian and African World-Systems Before</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the Sixteenth Century</w:t>
      </w:r>
      <w:r w:rsidR="00784171" w:rsidRPr="005B0A67">
        <w:rPr>
          <w:rFonts w:ascii="Garamond" w:eastAsia="Times New Roman" w:hAnsi="Garamond" w:cs="Times New Roman"/>
          <w:color w:val="000000"/>
          <w:sz w:val="24"/>
          <w:szCs w:val="24"/>
          <w:lang w:eastAsia="en-US"/>
        </w:rPr>
        <w:t>.</w:t>
      </w:r>
      <w:r w:rsidRPr="005B0A67">
        <w:rPr>
          <w:rFonts w:ascii="Garamond" w:eastAsia="Times New Roman" w:hAnsi="Garamond" w:cs="Times New Roman"/>
          <w:color w:val="000000"/>
          <w:sz w:val="24"/>
          <w:szCs w:val="24"/>
          <w:lang w:eastAsia="en-US"/>
        </w:rPr>
        <w:t>”</w:t>
      </w:r>
      <w:r w:rsidR="00784171" w:rsidRPr="005B0A67">
        <w:rPr>
          <w:rFonts w:ascii="Garamond" w:eastAsia="Times New Roman" w:hAnsi="Garamond" w:cs="Times New Roman"/>
          <w:color w:val="000000"/>
          <w:sz w:val="24"/>
          <w:szCs w:val="24"/>
          <w:lang w:eastAsia="en-US"/>
        </w:rPr>
        <w:t xml:space="preserve"> </w:t>
      </w:r>
      <w:r w:rsidR="00784171"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Journal of World History</w:t>
      </w:r>
      <w:r w:rsidRPr="005B0A67">
        <w:rPr>
          <w:rFonts w:ascii="Garamond" w:eastAsia="Times New Roman" w:hAnsi="Garamond" w:cs="Times New Roman"/>
          <w:color w:val="000000"/>
          <w:sz w:val="24"/>
          <w:szCs w:val="24"/>
          <w:lang w:eastAsia="en-US"/>
        </w:rPr>
        <w:t> 16,4:411-465.</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 xml:space="preserve"> 2012a </w:t>
      </w:r>
      <w:r w:rsidR="004263DA" w:rsidRPr="005B0A67">
        <w:rPr>
          <w:rFonts w:ascii="Garamond" w:eastAsia="Times New Roman" w:hAnsi="Garamond" w:cs="Times New Roman"/>
          <w:i/>
          <w:iCs/>
          <w:color w:val="000000"/>
          <w:sz w:val="24"/>
          <w:szCs w:val="24"/>
          <w:lang w:eastAsia="en-US"/>
        </w:rPr>
        <w:t>Les </w:t>
      </w:r>
      <w:proofErr w:type="spellStart"/>
      <w:r w:rsidR="004263DA" w:rsidRPr="005B0A67">
        <w:rPr>
          <w:rFonts w:ascii="Garamond" w:eastAsia="Times New Roman" w:hAnsi="Garamond" w:cs="Times New Roman"/>
          <w:i/>
          <w:iCs/>
          <w:color w:val="000000"/>
          <w:sz w:val="24"/>
          <w:szCs w:val="24"/>
          <w:lang w:eastAsia="en-US"/>
        </w:rPr>
        <w:t>mondes</w:t>
      </w:r>
      <w:proofErr w:type="spellEnd"/>
      <w:r w:rsidR="004263DA" w:rsidRPr="005B0A67">
        <w:rPr>
          <w:rFonts w:ascii="Garamond" w:eastAsia="Times New Roman" w:hAnsi="Garamond" w:cs="Times New Roman"/>
          <w:i/>
          <w:iCs/>
          <w:color w:val="000000"/>
          <w:sz w:val="24"/>
          <w:szCs w:val="24"/>
          <w:lang w:eastAsia="en-US"/>
        </w:rPr>
        <w:t> de </w:t>
      </w:r>
      <w:proofErr w:type="spellStart"/>
      <w:r w:rsidR="004263DA" w:rsidRPr="005B0A67">
        <w:rPr>
          <w:rFonts w:ascii="Garamond" w:eastAsia="Times New Roman" w:hAnsi="Garamond" w:cs="Times New Roman"/>
          <w:i/>
          <w:iCs/>
          <w:color w:val="000000"/>
          <w:sz w:val="24"/>
          <w:szCs w:val="24"/>
          <w:lang w:eastAsia="en-US"/>
        </w:rPr>
        <w:t>l’océan</w:t>
      </w:r>
      <w:proofErr w:type="spellEnd"/>
      <w:r w:rsidR="004263DA" w:rsidRPr="005B0A67">
        <w:rPr>
          <w:rFonts w:ascii="Garamond" w:eastAsia="Times New Roman" w:hAnsi="Garamond" w:cs="Times New Roman"/>
          <w:i/>
          <w:iCs/>
          <w:color w:val="000000"/>
          <w:sz w:val="24"/>
          <w:szCs w:val="24"/>
          <w:lang w:eastAsia="en-US"/>
        </w:rPr>
        <w:t> </w:t>
      </w:r>
      <w:proofErr w:type="spellStart"/>
      <w:r w:rsidR="004263DA" w:rsidRPr="005B0A67">
        <w:rPr>
          <w:rFonts w:ascii="Garamond" w:eastAsia="Times New Roman" w:hAnsi="Garamond" w:cs="Times New Roman"/>
          <w:i/>
          <w:iCs/>
          <w:color w:val="000000"/>
          <w:sz w:val="24"/>
          <w:szCs w:val="24"/>
          <w:lang w:eastAsia="en-US"/>
        </w:rPr>
        <w:t>Indien</w:t>
      </w:r>
      <w:proofErr w:type="spellEnd"/>
      <w:r w:rsidR="004263DA" w:rsidRPr="005B0A67">
        <w:rPr>
          <w:rFonts w:ascii="Garamond" w:eastAsia="Times New Roman" w:hAnsi="Garamond" w:cs="Times New Roman"/>
          <w:color w:val="000000"/>
          <w:sz w:val="24"/>
          <w:szCs w:val="24"/>
          <w:lang w:eastAsia="en-US"/>
        </w:rPr>
        <w:t> Tome</w:t>
      </w:r>
      <w:r w:rsidR="00784171" w:rsidRPr="005B0A67">
        <w:rPr>
          <w:rFonts w:ascii="Garamond" w:eastAsia="Times New Roman" w:hAnsi="Garamond" w:cs="Times New Roman"/>
          <w:color w:val="000000"/>
          <w:sz w:val="24"/>
          <w:szCs w:val="24"/>
          <w:lang w:eastAsia="en-US"/>
        </w:rPr>
        <w:t xml:space="preserve"> I: De la formation de </w:t>
      </w:r>
      <w:proofErr w:type="spellStart"/>
      <w:r w:rsidR="00784171" w:rsidRPr="005B0A67">
        <w:rPr>
          <w:rFonts w:ascii="Garamond" w:eastAsia="Times New Roman" w:hAnsi="Garamond" w:cs="Times New Roman"/>
          <w:color w:val="000000"/>
          <w:sz w:val="24"/>
          <w:szCs w:val="24"/>
          <w:lang w:eastAsia="en-US"/>
        </w:rPr>
        <w:t>l’État</w:t>
      </w:r>
      <w:proofErr w:type="spellEnd"/>
      <w:r w:rsidR="00784171" w:rsidRPr="005B0A67">
        <w:rPr>
          <w:rFonts w:ascii="Garamond" w:eastAsia="Times New Roman" w:hAnsi="Garamond" w:cs="Times New Roman"/>
          <w:color w:val="000000"/>
          <w:sz w:val="24"/>
          <w:szCs w:val="24"/>
          <w:lang w:eastAsia="en-US"/>
        </w:rPr>
        <w:t> au</w:t>
      </w:r>
      <w:r w:rsidR="004263DA" w:rsidRPr="005B0A67">
        <w:rPr>
          <w:rFonts w:ascii="Garamond" w:eastAsia="Times New Roman" w:hAnsi="Garamond" w:cs="Times New Roman"/>
          <w:color w:val="000000"/>
          <w:sz w:val="24"/>
          <w:szCs w:val="24"/>
          <w:lang w:eastAsia="en-US"/>
        </w:rPr>
        <w:t> premier </w:t>
      </w:r>
      <w:proofErr w:type="spellStart"/>
      <w:r w:rsidR="004263DA" w:rsidRPr="005B0A67">
        <w:rPr>
          <w:rFonts w:ascii="Garamond" w:eastAsia="Times New Roman" w:hAnsi="Garamond" w:cs="Times New Roman"/>
          <w:color w:val="000000"/>
          <w:sz w:val="24"/>
          <w:szCs w:val="24"/>
          <w:lang w:eastAsia="en-US"/>
        </w:rPr>
        <w:t>système</w:t>
      </w:r>
      <w:proofErr w:type="spellEnd"/>
      <w:r w:rsidR="004263DA" w:rsidRPr="005B0A67">
        <w:rPr>
          <w:rFonts w:ascii="Garamond" w:eastAsia="Times New Roman" w:hAnsi="Garamond" w:cs="Times New Roman"/>
          <w:color w:val="000000"/>
          <w:sz w:val="24"/>
          <w:szCs w:val="24"/>
          <w:lang w:eastAsia="en-US"/>
        </w:rPr>
        <w:t>-monde Afro-</w:t>
      </w:r>
      <w:proofErr w:type="spellStart"/>
      <w:r w:rsidR="004263DA" w:rsidRPr="005B0A67">
        <w:rPr>
          <w:rFonts w:ascii="Garamond" w:eastAsia="Times New Roman" w:hAnsi="Garamond" w:cs="Times New Roman"/>
          <w:color w:val="000000"/>
          <w:sz w:val="24"/>
          <w:szCs w:val="24"/>
          <w:lang w:eastAsia="en-US"/>
        </w:rPr>
        <w:t>Eurasien</w:t>
      </w:r>
      <w:proofErr w:type="spellEnd"/>
      <w:r w:rsidR="004263DA" w:rsidRPr="005B0A67">
        <w:rPr>
          <w:rFonts w:ascii="Garamond" w:eastAsia="Times New Roman" w:hAnsi="Garamond" w:cs="Times New Roman"/>
          <w:color w:val="000000"/>
          <w:sz w:val="24"/>
          <w:szCs w:val="24"/>
          <w:lang w:eastAsia="en-US"/>
        </w:rPr>
        <w:t> (4e </w:t>
      </w:r>
      <w:proofErr w:type="spellStart"/>
      <w:r w:rsidR="004263DA" w:rsidRPr="005B0A67">
        <w:rPr>
          <w:rFonts w:ascii="Garamond" w:eastAsia="Times New Roman" w:hAnsi="Garamond" w:cs="Times New Roman"/>
          <w:color w:val="000000"/>
          <w:sz w:val="24"/>
          <w:szCs w:val="24"/>
          <w:lang w:eastAsia="en-US"/>
        </w:rPr>
        <w:t>millénaire</w:t>
      </w:r>
      <w:proofErr w:type="spellEnd"/>
      <w:r w:rsidR="004263DA" w:rsidRPr="005B0A67">
        <w:rPr>
          <w:rFonts w:ascii="Garamond" w:eastAsia="Times New Roman" w:hAnsi="Garamond" w:cs="Times New Roman"/>
          <w:color w:val="000000"/>
          <w:sz w:val="24"/>
          <w:szCs w:val="24"/>
          <w:lang w:eastAsia="en-US"/>
        </w:rPr>
        <w:t> av. J.-C. – 6e siècle </w:t>
      </w:r>
      <w:proofErr w:type="spellStart"/>
      <w:r w:rsidR="004263DA" w:rsidRPr="005B0A67">
        <w:rPr>
          <w:rFonts w:ascii="Garamond" w:eastAsia="Times New Roman" w:hAnsi="Garamond" w:cs="Times New Roman"/>
          <w:color w:val="000000"/>
          <w:sz w:val="24"/>
          <w:szCs w:val="24"/>
          <w:lang w:eastAsia="en-US"/>
        </w:rPr>
        <w:t>apr.</w:t>
      </w:r>
      <w:proofErr w:type="spellEnd"/>
      <w:r w:rsidR="004263DA" w:rsidRPr="005B0A67">
        <w:rPr>
          <w:rFonts w:ascii="Garamond" w:eastAsia="Times New Roman" w:hAnsi="Garamond" w:cs="Times New Roman"/>
          <w:color w:val="000000"/>
          <w:sz w:val="24"/>
          <w:szCs w:val="24"/>
          <w:lang w:eastAsia="en-US"/>
        </w:rPr>
        <w:t> J.-C.).</w:t>
      </w:r>
      <w:r w:rsidR="00784171"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Paris: Armand Colin.</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2010. “From Three possible Iron-Age World-Systems to a Single Afro-Eurasian World-System.” </w:t>
      </w:r>
      <w:r w:rsidR="004263DA" w:rsidRPr="005B0A67">
        <w:rPr>
          <w:rFonts w:ascii="Garamond" w:eastAsia="Times New Roman" w:hAnsi="Garamond" w:cs="Times New Roman"/>
          <w:i/>
          <w:iCs/>
          <w:color w:val="000000"/>
          <w:sz w:val="24"/>
          <w:szCs w:val="24"/>
          <w:lang w:eastAsia="en-US"/>
        </w:rPr>
        <w:t>Journal of World History</w:t>
      </w:r>
      <w:r w:rsidR="004263DA" w:rsidRPr="005B0A67">
        <w:rPr>
          <w:rFonts w:ascii="Garamond" w:eastAsia="Times New Roman" w:hAnsi="Garamond" w:cs="Times New Roman"/>
          <w:color w:val="000000"/>
          <w:sz w:val="24"/>
          <w:szCs w:val="24"/>
          <w:lang w:eastAsia="en-US"/>
        </w:rPr>
        <w:t> 21:1(March):1-43.</w:t>
      </w:r>
      <w:r w:rsidR="00784171" w:rsidRPr="005B0A67">
        <w:rPr>
          <w:rFonts w:ascii="Garamond" w:eastAsia="Times New Roman" w:hAnsi="Garamond" w:cs="Times New Roman"/>
          <w:color w:val="000000"/>
          <w:sz w:val="24"/>
          <w:szCs w:val="24"/>
          <w:lang w:eastAsia="en-US"/>
        </w:rPr>
        <w:t xml:space="preserve"> </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 xml:space="preserve"> 2112b   </w:t>
      </w:r>
      <w:r w:rsidR="004263DA" w:rsidRPr="005B0A67">
        <w:rPr>
          <w:rFonts w:ascii="Garamond" w:eastAsia="Times New Roman" w:hAnsi="Garamond" w:cs="Times New Roman"/>
          <w:i/>
          <w:iCs/>
          <w:color w:val="000000"/>
          <w:sz w:val="24"/>
          <w:szCs w:val="24"/>
          <w:lang w:eastAsia="en-US"/>
        </w:rPr>
        <w:t>Les </w:t>
      </w:r>
      <w:proofErr w:type="spellStart"/>
      <w:r w:rsidR="004263DA" w:rsidRPr="005B0A67">
        <w:rPr>
          <w:rFonts w:ascii="Garamond" w:eastAsia="Times New Roman" w:hAnsi="Garamond" w:cs="Times New Roman"/>
          <w:i/>
          <w:iCs/>
          <w:color w:val="000000"/>
          <w:sz w:val="24"/>
          <w:szCs w:val="24"/>
          <w:lang w:eastAsia="en-US"/>
        </w:rPr>
        <w:t>mondes</w:t>
      </w:r>
      <w:proofErr w:type="spellEnd"/>
      <w:r w:rsidR="004263DA" w:rsidRPr="005B0A67">
        <w:rPr>
          <w:rFonts w:ascii="Garamond" w:eastAsia="Times New Roman" w:hAnsi="Garamond" w:cs="Times New Roman"/>
          <w:i/>
          <w:iCs/>
          <w:color w:val="000000"/>
          <w:sz w:val="24"/>
          <w:szCs w:val="24"/>
          <w:lang w:eastAsia="en-US"/>
        </w:rPr>
        <w:t> de </w:t>
      </w:r>
      <w:proofErr w:type="spellStart"/>
      <w:r w:rsidR="004263DA" w:rsidRPr="005B0A67">
        <w:rPr>
          <w:rFonts w:ascii="Garamond" w:eastAsia="Times New Roman" w:hAnsi="Garamond" w:cs="Times New Roman"/>
          <w:i/>
          <w:iCs/>
          <w:color w:val="000000"/>
          <w:sz w:val="24"/>
          <w:szCs w:val="24"/>
          <w:lang w:eastAsia="en-US"/>
        </w:rPr>
        <w:t>l’océan</w:t>
      </w:r>
      <w:proofErr w:type="spellEnd"/>
      <w:r w:rsidR="004263DA" w:rsidRPr="005B0A67">
        <w:rPr>
          <w:rFonts w:ascii="Garamond" w:eastAsia="Times New Roman" w:hAnsi="Garamond" w:cs="Times New Roman"/>
          <w:i/>
          <w:iCs/>
          <w:color w:val="000000"/>
          <w:sz w:val="24"/>
          <w:szCs w:val="24"/>
          <w:lang w:eastAsia="en-US"/>
        </w:rPr>
        <w:t> </w:t>
      </w:r>
      <w:proofErr w:type="spellStart"/>
      <w:r w:rsidR="004263DA" w:rsidRPr="005B0A67">
        <w:rPr>
          <w:rFonts w:ascii="Garamond" w:eastAsia="Times New Roman" w:hAnsi="Garamond" w:cs="Times New Roman"/>
          <w:i/>
          <w:iCs/>
          <w:color w:val="000000"/>
          <w:sz w:val="24"/>
          <w:szCs w:val="24"/>
          <w:lang w:eastAsia="en-US"/>
        </w:rPr>
        <w:t>Indien</w:t>
      </w:r>
      <w:proofErr w:type="spellEnd"/>
      <w:r w:rsidR="004263DA" w:rsidRPr="005B0A67">
        <w:rPr>
          <w:rFonts w:ascii="Garamond" w:eastAsia="Times New Roman" w:hAnsi="Garamond" w:cs="Times New Roman"/>
          <w:color w:val="000000"/>
          <w:sz w:val="24"/>
          <w:szCs w:val="24"/>
          <w:lang w:eastAsia="en-US"/>
        </w:rPr>
        <w:t> Tome II:  </w:t>
      </w:r>
      <w:proofErr w:type="spellStart"/>
      <w:r w:rsidR="004263DA" w:rsidRPr="005B0A67">
        <w:rPr>
          <w:rFonts w:ascii="Garamond" w:eastAsia="Times New Roman" w:hAnsi="Garamond" w:cs="Times New Roman"/>
          <w:color w:val="000000"/>
          <w:sz w:val="24"/>
          <w:szCs w:val="24"/>
          <w:lang w:eastAsia="en-US"/>
        </w:rPr>
        <w:t>L’océan</w:t>
      </w:r>
      <w:proofErr w:type="spellEnd"/>
      <w:r w:rsidR="004263DA" w:rsidRPr="005B0A67">
        <w:rPr>
          <w:rFonts w:ascii="Garamond" w:eastAsia="Times New Roman" w:hAnsi="Garamond" w:cs="Times New Roman"/>
          <w:color w:val="000000"/>
          <w:sz w:val="24"/>
          <w:szCs w:val="24"/>
          <w:lang w:eastAsia="en-US"/>
        </w:rPr>
        <w:t> </w:t>
      </w:r>
      <w:proofErr w:type="spellStart"/>
      <w:r w:rsidR="004263DA" w:rsidRPr="005B0A67">
        <w:rPr>
          <w:rFonts w:ascii="Garamond" w:eastAsia="Times New Roman" w:hAnsi="Garamond" w:cs="Times New Roman"/>
          <w:color w:val="000000"/>
          <w:sz w:val="24"/>
          <w:szCs w:val="24"/>
          <w:lang w:eastAsia="en-US"/>
        </w:rPr>
        <w:t>Indien</w:t>
      </w:r>
      <w:proofErr w:type="spellEnd"/>
      <w:r w:rsidR="004263DA" w:rsidRPr="005B0A67">
        <w:rPr>
          <w:rFonts w:ascii="Garamond" w:eastAsia="Times New Roman" w:hAnsi="Garamond" w:cs="Times New Roman"/>
          <w:color w:val="000000"/>
          <w:sz w:val="24"/>
          <w:szCs w:val="24"/>
          <w:lang w:eastAsia="en-US"/>
        </w:rPr>
        <w:t>, au </w:t>
      </w:r>
      <w:proofErr w:type="spellStart"/>
      <w:r w:rsidR="004263DA" w:rsidRPr="005B0A67">
        <w:rPr>
          <w:rFonts w:ascii="Garamond" w:eastAsia="Times New Roman" w:hAnsi="Garamond" w:cs="Times New Roman"/>
          <w:color w:val="000000"/>
          <w:sz w:val="24"/>
          <w:szCs w:val="24"/>
          <w:lang w:eastAsia="en-US"/>
        </w:rPr>
        <w:t>coeur</w:t>
      </w:r>
      <w:proofErr w:type="spellEnd"/>
      <w:r w:rsidR="004263DA" w:rsidRPr="005B0A67">
        <w:rPr>
          <w:rFonts w:ascii="Garamond" w:eastAsia="Times New Roman" w:hAnsi="Garamond" w:cs="Times New Roman"/>
          <w:color w:val="000000"/>
          <w:sz w:val="24"/>
          <w:szCs w:val="24"/>
          <w:lang w:eastAsia="en-US"/>
        </w:rPr>
        <w:t> des </w:t>
      </w:r>
      <w:proofErr w:type="spellStart"/>
      <w:r w:rsidR="004263DA" w:rsidRPr="005B0A67">
        <w:rPr>
          <w:rFonts w:ascii="Garamond" w:eastAsia="Times New Roman" w:hAnsi="Garamond" w:cs="Times New Roman"/>
          <w:color w:val="000000"/>
          <w:sz w:val="24"/>
          <w:szCs w:val="24"/>
          <w:lang w:eastAsia="en-US"/>
        </w:rPr>
        <w:t>globalisations</w:t>
      </w:r>
      <w:proofErr w:type="spellEnd"/>
      <w:r w:rsidR="004263DA" w:rsidRPr="005B0A67">
        <w:rPr>
          <w:rFonts w:ascii="Garamond" w:eastAsia="Times New Roman" w:hAnsi="Garamond" w:cs="Times New Roman"/>
          <w:color w:val="000000"/>
          <w:sz w:val="24"/>
          <w:szCs w:val="24"/>
          <w:lang w:eastAsia="en-US"/>
        </w:rPr>
        <w:t> de </w:t>
      </w:r>
      <w:proofErr w:type="spellStart"/>
      <w:r w:rsidR="004263DA" w:rsidRPr="005B0A67">
        <w:rPr>
          <w:rFonts w:ascii="Garamond" w:eastAsia="Times New Roman" w:hAnsi="Garamond" w:cs="Times New Roman"/>
          <w:color w:val="000000"/>
          <w:sz w:val="24"/>
          <w:szCs w:val="24"/>
          <w:lang w:eastAsia="en-US"/>
        </w:rPr>
        <w:t>l’ancien</w:t>
      </w:r>
      <w:proofErr w:type="spellEnd"/>
      <w:r w:rsidR="004263DA" w:rsidRPr="005B0A67">
        <w:rPr>
          <w:rFonts w:ascii="Garamond" w:eastAsia="Times New Roman" w:hAnsi="Garamond" w:cs="Times New Roman"/>
          <w:color w:val="000000"/>
          <w:sz w:val="24"/>
          <w:szCs w:val="24"/>
          <w:lang w:eastAsia="en-US"/>
        </w:rPr>
        <w:t> Monde du 7e au 15e siècle. Paris: Armand Colin</w:t>
      </w:r>
      <w:r w:rsidR="00784171"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Beckwith, I. Christopher. 1991. "The Impact of the Horse and Silk Trade on the Economies</w:t>
      </w:r>
      <w:r w:rsidR="00784171"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of </w:t>
      </w:r>
      <w:proofErr w:type="spellStart"/>
      <w:r w:rsidR="004263DA" w:rsidRPr="005B0A67">
        <w:rPr>
          <w:rFonts w:ascii="Garamond" w:eastAsia="Times New Roman" w:hAnsi="Garamond" w:cs="Times New Roman"/>
          <w:color w:val="000000"/>
          <w:sz w:val="24"/>
          <w:szCs w:val="24"/>
          <w:lang w:eastAsia="en-US"/>
        </w:rPr>
        <w:t>T'ang</w:t>
      </w:r>
      <w:proofErr w:type="spellEnd"/>
      <w:r w:rsidR="004263DA" w:rsidRPr="005B0A67">
        <w:rPr>
          <w:rFonts w:ascii="Garamond" w:eastAsia="Times New Roman" w:hAnsi="Garamond" w:cs="Times New Roman"/>
          <w:color w:val="000000"/>
          <w:sz w:val="24"/>
          <w:szCs w:val="24"/>
          <w:lang w:eastAsia="en-US"/>
        </w:rPr>
        <w:t> China and the Uighur Empire." </w:t>
      </w:r>
      <w:r w:rsidR="004263DA" w:rsidRPr="005B0A67">
        <w:rPr>
          <w:rFonts w:ascii="Garamond" w:eastAsia="Times New Roman" w:hAnsi="Garamond" w:cs="Times New Roman"/>
          <w:i/>
          <w:iCs/>
          <w:color w:val="000000"/>
          <w:sz w:val="24"/>
          <w:szCs w:val="24"/>
          <w:lang w:eastAsia="en-US"/>
        </w:rPr>
        <w:t>Journal of the Economic and Social History of the</w:t>
      </w:r>
      <w:r w:rsidR="00784171" w:rsidRPr="005B0A67">
        <w:rPr>
          <w:rFonts w:ascii="Garamond" w:eastAsia="Times New Roman" w:hAnsi="Garamond" w:cs="Times New Roman"/>
          <w:i/>
          <w:iCs/>
          <w:color w:val="000000"/>
          <w:sz w:val="24"/>
          <w:szCs w:val="24"/>
          <w:lang w:eastAsia="en-US"/>
        </w:rPr>
        <w:t xml:space="preserve"> </w:t>
      </w:r>
      <w:r w:rsidR="004263DA" w:rsidRPr="005B0A67">
        <w:rPr>
          <w:rFonts w:ascii="Garamond" w:eastAsia="Times New Roman" w:hAnsi="Garamond" w:cs="Times New Roman"/>
          <w:i/>
          <w:iCs/>
          <w:color w:val="000000"/>
          <w:sz w:val="24"/>
          <w:szCs w:val="24"/>
          <w:lang w:eastAsia="en-US"/>
        </w:rPr>
        <w:t>Orient</w:t>
      </w:r>
      <w:r w:rsidR="004263DA" w:rsidRPr="005B0A67">
        <w:rPr>
          <w:rFonts w:ascii="Garamond" w:eastAsia="Times New Roman" w:hAnsi="Garamond" w:cs="Times New Roman"/>
          <w:color w:val="000000"/>
          <w:sz w:val="24"/>
          <w:szCs w:val="24"/>
          <w:lang w:eastAsia="en-US"/>
        </w:rPr>
        <w:t> 34:2:183-198.</w:t>
      </w:r>
    </w:p>
    <w:p w:rsidR="00696473"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Bentley, Jerry H.  1993.  </w:t>
      </w:r>
      <w:r w:rsidRPr="005B0A67">
        <w:rPr>
          <w:rFonts w:ascii="Garamond" w:eastAsia="Times New Roman" w:hAnsi="Garamond" w:cs="Times New Roman"/>
          <w:i/>
          <w:iCs/>
          <w:color w:val="000000"/>
          <w:sz w:val="24"/>
          <w:szCs w:val="24"/>
          <w:lang w:eastAsia="en-US"/>
        </w:rPr>
        <w:t>Old World Encounters: Cross-Cultural Contacts and Exchanges in Pre-Modern Times</w:t>
      </w:r>
      <w:r w:rsidRPr="005B0A67">
        <w:rPr>
          <w:rFonts w:ascii="Garamond" w:eastAsia="Times New Roman" w:hAnsi="Garamond" w:cs="Times New Roman"/>
          <w:color w:val="000000"/>
          <w:sz w:val="24"/>
          <w:szCs w:val="24"/>
          <w:lang w:eastAsia="en-US"/>
        </w:rPr>
        <w:t>.  Oxford:  Oxford University 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Blanton, Richard </w:t>
      </w:r>
      <w:r w:rsidR="002C2C02" w:rsidRPr="005B0A67">
        <w:rPr>
          <w:rFonts w:ascii="Garamond" w:eastAsia="Times New Roman" w:hAnsi="Garamond" w:cs="Times New Roman"/>
          <w:color w:val="000000"/>
          <w:sz w:val="24"/>
          <w:szCs w:val="24"/>
          <w:lang w:eastAsia="en-US"/>
        </w:rPr>
        <w:t>E.,</w:t>
      </w:r>
      <w:r w:rsidRPr="005B0A67">
        <w:rPr>
          <w:rFonts w:ascii="Garamond" w:eastAsia="Times New Roman" w:hAnsi="Garamond" w:cs="Times New Roman"/>
          <w:color w:val="000000"/>
          <w:sz w:val="24"/>
          <w:szCs w:val="24"/>
          <w:lang w:eastAsia="en-US"/>
        </w:rPr>
        <w:t xml:space="preserve"> Stephen A. </w:t>
      </w:r>
      <w:proofErr w:type="spellStart"/>
      <w:r w:rsidRPr="005B0A67">
        <w:rPr>
          <w:rFonts w:ascii="Garamond" w:eastAsia="Times New Roman" w:hAnsi="Garamond" w:cs="Times New Roman"/>
          <w:color w:val="000000"/>
          <w:sz w:val="24"/>
          <w:szCs w:val="24"/>
          <w:lang w:eastAsia="en-US"/>
        </w:rPr>
        <w:t>Kowalewski</w:t>
      </w:r>
      <w:proofErr w:type="spellEnd"/>
      <w:r w:rsidRPr="005B0A67">
        <w:rPr>
          <w:rFonts w:ascii="Garamond" w:eastAsia="Times New Roman" w:hAnsi="Garamond" w:cs="Times New Roman"/>
          <w:color w:val="000000"/>
          <w:sz w:val="24"/>
          <w:szCs w:val="24"/>
          <w:lang w:eastAsia="en-US"/>
        </w:rPr>
        <w:t>, and Gary </w:t>
      </w:r>
      <w:proofErr w:type="spellStart"/>
      <w:r w:rsidRPr="005B0A67">
        <w:rPr>
          <w:rFonts w:ascii="Garamond" w:eastAsia="Times New Roman" w:hAnsi="Garamond" w:cs="Times New Roman"/>
          <w:color w:val="000000"/>
          <w:sz w:val="24"/>
          <w:szCs w:val="24"/>
          <w:lang w:eastAsia="en-US"/>
        </w:rPr>
        <w:t>Fei</w:t>
      </w:r>
      <w:r w:rsidR="00696473" w:rsidRPr="005B0A67">
        <w:rPr>
          <w:rFonts w:ascii="Garamond" w:eastAsia="Times New Roman" w:hAnsi="Garamond" w:cs="Times New Roman"/>
          <w:color w:val="000000"/>
          <w:sz w:val="24"/>
          <w:szCs w:val="24"/>
          <w:lang w:eastAsia="en-US"/>
        </w:rPr>
        <w:t>nman</w:t>
      </w:r>
      <w:proofErr w:type="spellEnd"/>
      <w:r w:rsidR="00696473" w:rsidRPr="005B0A67">
        <w:rPr>
          <w:rFonts w:ascii="Garamond" w:eastAsia="Times New Roman" w:hAnsi="Garamond" w:cs="Times New Roman"/>
          <w:color w:val="000000"/>
          <w:sz w:val="24"/>
          <w:szCs w:val="24"/>
          <w:lang w:eastAsia="en-US"/>
        </w:rPr>
        <w:t xml:space="preserve">.  1992.  "The Mesoamerican </w:t>
      </w:r>
      <w:r w:rsidRPr="005B0A67">
        <w:rPr>
          <w:rFonts w:ascii="Garamond" w:eastAsia="Times New Roman" w:hAnsi="Garamond" w:cs="Times New Roman"/>
          <w:color w:val="000000"/>
          <w:sz w:val="24"/>
          <w:szCs w:val="24"/>
          <w:lang w:eastAsia="en-US"/>
        </w:rPr>
        <w:t>World-System."</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i/>
          <w:iCs/>
          <w:color w:val="000000"/>
          <w:sz w:val="24"/>
          <w:szCs w:val="24"/>
          <w:lang w:eastAsia="en-US"/>
        </w:rPr>
        <w:t>Review</w:t>
      </w:r>
      <w:r w:rsidRPr="005B0A67">
        <w:rPr>
          <w:rFonts w:ascii="Garamond" w:eastAsia="Times New Roman" w:hAnsi="Garamond" w:cs="Times New Roman"/>
          <w:color w:val="000000"/>
          <w:sz w:val="24"/>
          <w:szCs w:val="24"/>
          <w:lang w:eastAsia="en-US"/>
        </w:rPr>
        <w:t> 15:3(Summer):418-426.</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Bosworth, Andrew 1995 "World cities and world economic cycles" Pp. 206-228 in Stephen</w:t>
      </w:r>
      <w:r w:rsidR="004D0421" w:rsidRPr="005B0A67">
        <w:rPr>
          <w:rFonts w:ascii="Garamond" w:eastAsia="Times New Roman" w:hAnsi="Garamond" w:cs="Times New Roman"/>
          <w:color w:val="000000"/>
          <w:sz w:val="24"/>
          <w:szCs w:val="24"/>
          <w:lang w:eastAsia="en-US"/>
        </w:rPr>
        <w:t xml:space="preserve"> </w:t>
      </w:r>
      <w:r w:rsidR="00696473" w:rsidRPr="005B0A67">
        <w:rPr>
          <w:rFonts w:ascii="Garamond" w:eastAsia="Times New Roman" w:hAnsi="Garamond" w:cs="Times New Roman"/>
          <w:color w:val="000000"/>
          <w:sz w:val="24"/>
          <w:szCs w:val="24"/>
          <w:lang w:eastAsia="en-US"/>
        </w:rPr>
        <w:t>Sanderson (ed.</w:t>
      </w:r>
      <w:r w:rsidRPr="005B0A67">
        <w:rPr>
          <w:rFonts w:ascii="Garamond" w:eastAsia="Times New Roman" w:hAnsi="Garamond" w:cs="Times New Roman"/>
          <w:color w:val="000000"/>
          <w:sz w:val="24"/>
          <w:szCs w:val="24"/>
          <w:lang w:eastAsia="en-US"/>
        </w:rPr>
        <w:t>) </w:t>
      </w:r>
      <w:r w:rsidRPr="005B0A67">
        <w:rPr>
          <w:rFonts w:ascii="Garamond" w:eastAsia="Times New Roman" w:hAnsi="Garamond" w:cs="Times New Roman"/>
          <w:i/>
          <w:iCs/>
          <w:color w:val="000000"/>
          <w:sz w:val="24"/>
          <w:szCs w:val="24"/>
          <w:lang w:eastAsia="en-US"/>
        </w:rPr>
        <w:t>Civilizations and World Systems</w:t>
      </w:r>
      <w:r w:rsidRPr="005B0A67">
        <w:rPr>
          <w:rFonts w:ascii="Garamond" w:eastAsia="Times New Roman" w:hAnsi="Garamond" w:cs="Times New Roman"/>
          <w:color w:val="000000"/>
          <w:sz w:val="24"/>
          <w:szCs w:val="24"/>
          <w:lang w:eastAsia="en-US"/>
        </w:rPr>
        <w:t>. Walnut </w:t>
      </w:r>
      <w:proofErr w:type="spellStart"/>
      <w:r w:rsidRPr="005B0A67">
        <w:rPr>
          <w:rFonts w:ascii="Garamond" w:eastAsia="Times New Roman" w:hAnsi="Garamond" w:cs="Times New Roman"/>
          <w:color w:val="000000"/>
          <w:sz w:val="24"/>
          <w:szCs w:val="24"/>
          <w:lang w:eastAsia="en-US"/>
        </w:rPr>
        <w:t>Creek,CA</w:t>
      </w:r>
      <w:proofErr w:type="spellEnd"/>
      <w:r w:rsidRPr="005B0A67">
        <w:rPr>
          <w:rFonts w:ascii="Garamond" w:eastAsia="Times New Roman" w:hAnsi="Garamond" w:cs="Times New Roman"/>
          <w:color w:val="000000"/>
          <w:sz w:val="24"/>
          <w:szCs w:val="24"/>
          <w:lang w:eastAsia="en-US"/>
        </w:rPr>
        <w:t>.: Altamira.</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Braudel</w:t>
      </w:r>
      <w:proofErr w:type="spellEnd"/>
      <w:r w:rsidRPr="005B0A67">
        <w:rPr>
          <w:rFonts w:ascii="Garamond" w:eastAsia="Times New Roman" w:hAnsi="Garamond" w:cs="Times New Roman"/>
          <w:color w:val="000000"/>
          <w:sz w:val="24"/>
          <w:szCs w:val="24"/>
          <w:lang w:eastAsia="en-US"/>
        </w:rPr>
        <w:t>, Fernand 1972 </w:t>
      </w:r>
      <w:r w:rsidRPr="005B0A67">
        <w:rPr>
          <w:rFonts w:ascii="Garamond" w:eastAsia="Times New Roman" w:hAnsi="Garamond" w:cs="Times New Roman"/>
          <w:i/>
          <w:iCs/>
          <w:color w:val="000000"/>
          <w:sz w:val="24"/>
          <w:szCs w:val="24"/>
          <w:lang w:eastAsia="en-US"/>
        </w:rPr>
        <w:t>The Mediterranean and the Mediterranean World in the Age of Philip II</w:t>
      </w:r>
      <w:r w:rsidRPr="005B0A67">
        <w:rPr>
          <w:rFonts w:ascii="Garamond" w:eastAsia="Times New Roman" w:hAnsi="Garamond" w:cs="Times New Roman"/>
          <w:color w:val="000000"/>
          <w:sz w:val="24"/>
          <w:szCs w:val="24"/>
          <w:lang w:eastAsia="en-US"/>
        </w:rPr>
        <w:t>. New York: Harper and Row, 2 vol.</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lastRenderedPageBreak/>
        <w:t>______ .</w:t>
      </w:r>
      <w:r w:rsidR="004263DA" w:rsidRPr="005B0A67">
        <w:rPr>
          <w:rFonts w:ascii="Garamond" w:eastAsia="Times New Roman" w:hAnsi="Garamond" w:cs="Times New Roman"/>
          <w:color w:val="000000"/>
          <w:sz w:val="24"/>
          <w:szCs w:val="24"/>
          <w:lang w:eastAsia="en-US"/>
        </w:rPr>
        <w:t> 1984.  </w:t>
      </w:r>
      <w:r w:rsidR="004263DA" w:rsidRPr="005B0A67">
        <w:rPr>
          <w:rFonts w:ascii="Garamond" w:eastAsia="Times New Roman" w:hAnsi="Garamond" w:cs="Times New Roman"/>
          <w:i/>
          <w:iCs/>
          <w:color w:val="000000"/>
          <w:sz w:val="24"/>
          <w:szCs w:val="24"/>
          <w:lang w:eastAsia="en-US"/>
        </w:rPr>
        <w:t>The Perspective of the World</w:t>
      </w:r>
      <w:r w:rsidR="004263DA" w:rsidRPr="005B0A67">
        <w:rPr>
          <w:rFonts w:ascii="Garamond" w:eastAsia="Times New Roman" w:hAnsi="Garamond" w:cs="Times New Roman"/>
          <w:color w:val="000000"/>
          <w:sz w:val="24"/>
          <w:szCs w:val="24"/>
          <w:lang w:eastAsia="en-US"/>
        </w:rPr>
        <w:t>, Volume 3 of </w:t>
      </w:r>
      <w:r w:rsidRPr="005B0A67">
        <w:rPr>
          <w:rFonts w:ascii="Garamond" w:eastAsia="Times New Roman" w:hAnsi="Garamond" w:cs="Times New Roman"/>
          <w:i/>
          <w:iCs/>
          <w:color w:val="000000"/>
          <w:sz w:val="24"/>
          <w:szCs w:val="24"/>
          <w:lang w:eastAsia="en-US"/>
        </w:rPr>
        <w:t xml:space="preserve">Civilization and </w:t>
      </w:r>
      <w:r w:rsidR="004263DA" w:rsidRPr="005B0A67">
        <w:rPr>
          <w:rFonts w:ascii="Garamond" w:eastAsia="Times New Roman" w:hAnsi="Garamond" w:cs="Times New Roman"/>
          <w:i/>
          <w:iCs/>
          <w:color w:val="000000"/>
          <w:sz w:val="24"/>
          <w:szCs w:val="24"/>
          <w:lang w:eastAsia="en-US"/>
        </w:rPr>
        <w:t>Capitalism</w:t>
      </w:r>
      <w:r w:rsidR="004263DA" w:rsidRPr="005B0A67">
        <w:rPr>
          <w:rFonts w:ascii="Garamond" w:eastAsia="Times New Roman" w:hAnsi="Garamond" w:cs="Times New Roman"/>
          <w:color w:val="000000"/>
          <w:sz w:val="24"/>
          <w:szCs w:val="24"/>
          <w:lang w:eastAsia="en-US"/>
        </w:rPr>
        <w:t>. </w:t>
      </w:r>
      <w:r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Berk</w:t>
      </w:r>
      <w:r w:rsidR="00784171" w:rsidRPr="005B0A67">
        <w:rPr>
          <w:rFonts w:ascii="Garamond" w:eastAsia="Times New Roman" w:hAnsi="Garamond" w:cs="Times New Roman"/>
          <w:color w:val="000000"/>
          <w:sz w:val="24"/>
          <w:szCs w:val="24"/>
          <w:lang w:eastAsia="en-US"/>
        </w:rPr>
        <w:t xml:space="preserve">eley:  University of California </w:t>
      </w:r>
      <w:r w:rsidR="004263DA" w:rsidRPr="005B0A67">
        <w:rPr>
          <w:rFonts w:ascii="Garamond" w:eastAsia="Times New Roman" w:hAnsi="Garamond" w:cs="Times New Roman"/>
          <w:color w:val="000000"/>
          <w:sz w:val="24"/>
          <w:szCs w:val="24"/>
          <w:lang w:eastAsia="en-US"/>
        </w:rPr>
        <w:t>Press</w:t>
      </w:r>
      <w:r w:rsidR="00784171" w:rsidRPr="005B0A67">
        <w:rPr>
          <w:rFonts w:ascii="Garamond" w:eastAsia="Times New Roman" w:hAnsi="Garamond" w:cs="Times New Roman"/>
          <w:color w:val="000000"/>
          <w:sz w:val="24"/>
          <w:szCs w:val="24"/>
          <w:lang w:eastAsia="en-US"/>
        </w:rPr>
        <w:t xml:space="preserve">. </w:t>
      </w:r>
    </w:p>
    <w:p w:rsidR="00B83814" w:rsidRPr="005B0A67" w:rsidRDefault="00B83814" w:rsidP="00B83814">
      <w:pPr>
        <w:ind w:left="720" w:hanging="720"/>
        <w:rPr>
          <w:rFonts w:ascii="Garamond" w:eastAsia="Times New Roman" w:hAnsi="Garamond" w:cs="Times New Roman"/>
          <w:sz w:val="24"/>
          <w:szCs w:val="24"/>
          <w:lang w:eastAsia="en-US"/>
        </w:rPr>
      </w:pPr>
      <w:r w:rsidRPr="005B0A67">
        <w:rPr>
          <w:rFonts w:ascii="Garamond" w:eastAsia="Times New Roman" w:hAnsi="Garamond" w:cs="Times New Roman"/>
          <w:sz w:val="24"/>
          <w:szCs w:val="24"/>
          <w:lang w:eastAsia="en-US"/>
        </w:rPr>
        <w:t xml:space="preserve">Brown, Barton M. 1987 “Population estimation from floor area,” </w:t>
      </w:r>
      <w:r w:rsidRPr="005B0A67">
        <w:rPr>
          <w:rFonts w:ascii="Garamond" w:eastAsia="Times New Roman" w:hAnsi="Garamond" w:cs="Times New Roman"/>
          <w:i/>
          <w:sz w:val="24"/>
          <w:szCs w:val="24"/>
          <w:lang w:eastAsia="en-US"/>
        </w:rPr>
        <w:t>Behavior Science Research</w:t>
      </w:r>
      <w:r w:rsidRPr="005B0A67">
        <w:rPr>
          <w:rFonts w:ascii="Garamond" w:eastAsia="Times New Roman" w:hAnsi="Garamond" w:cs="Times New Roman"/>
          <w:sz w:val="24"/>
          <w:szCs w:val="24"/>
          <w:lang w:eastAsia="en-US"/>
        </w:rPr>
        <w:t xml:space="preserve"> 21:1-49.</w:t>
      </w:r>
    </w:p>
    <w:p w:rsidR="005E1517" w:rsidRPr="005B0A67" w:rsidRDefault="005E1517" w:rsidP="005E1517">
      <w:pPr>
        <w:ind w:left="720" w:hanging="720"/>
        <w:rPr>
          <w:rFonts w:ascii="Garamond" w:hAnsi="Garamond"/>
          <w:sz w:val="24"/>
          <w:szCs w:val="24"/>
        </w:rPr>
      </w:pPr>
      <w:r w:rsidRPr="005B0A67">
        <w:rPr>
          <w:rFonts w:ascii="Garamond" w:hAnsi="Garamond"/>
          <w:sz w:val="24"/>
          <w:szCs w:val="24"/>
        </w:rPr>
        <w:t xml:space="preserve">Chandler, </w:t>
      </w:r>
      <w:proofErr w:type="spellStart"/>
      <w:r w:rsidRPr="005B0A67">
        <w:rPr>
          <w:rFonts w:ascii="Garamond" w:hAnsi="Garamond"/>
          <w:sz w:val="24"/>
          <w:szCs w:val="24"/>
        </w:rPr>
        <w:t>Tertius</w:t>
      </w:r>
      <w:proofErr w:type="spellEnd"/>
      <w:r w:rsidRPr="005B0A67">
        <w:rPr>
          <w:rFonts w:ascii="Garamond" w:hAnsi="Garamond"/>
          <w:sz w:val="24"/>
          <w:szCs w:val="24"/>
        </w:rPr>
        <w:t xml:space="preserve"> and Gerald Fox 1974 </w:t>
      </w:r>
      <w:r w:rsidRPr="005B0A67">
        <w:rPr>
          <w:rFonts w:ascii="Garamond" w:hAnsi="Garamond"/>
          <w:i/>
          <w:sz w:val="24"/>
          <w:szCs w:val="24"/>
        </w:rPr>
        <w:t>Three Thousand Years of Urban Growth</w:t>
      </w:r>
      <w:r w:rsidRPr="005B0A67">
        <w:rPr>
          <w:rFonts w:ascii="Garamond" w:hAnsi="Garamond"/>
          <w:sz w:val="24"/>
          <w:szCs w:val="24"/>
        </w:rPr>
        <w:t>. New York: Academic Press</w:t>
      </w:r>
    </w:p>
    <w:p w:rsidR="005E1517" w:rsidRPr="005B0A67" w:rsidRDefault="005E1517" w:rsidP="005E1517">
      <w:pPr>
        <w:ind w:left="720" w:hanging="720"/>
        <w:rPr>
          <w:rFonts w:ascii="Garamond" w:eastAsia="Times New Roman" w:hAnsi="Garamond" w:cs="Times New Roman"/>
          <w:sz w:val="24"/>
          <w:szCs w:val="24"/>
          <w:lang w:eastAsia="en-US"/>
        </w:rPr>
      </w:pPr>
      <w:r w:rsidRPr="005B0A67">
        <w:rPr>
          <w:rFonts w:ascii="Garamond" w:eastAsia="Times New Roman" w:hAnsi="Garamond" w:cs="Times New Roman"/>
          <w:sz w:val="24"/>
          <w:szCs w:val="24"/>
          <w:lang w:eastAsia="en-US"/>
        </w:rPr>
        <w:t xml:space="preserve">Chandler, </w:t>
      </w:r>
      <w:proofErr w:type="spellStart"/>
      <w:r w:rsidRPr="005B0A67">
        <w:rPr>
          <w:rFonts w:ascii="Garamond" w:eastAsia="Times New Roman" w:hAnsi="Garamond" w:cs="Times New Roman"/>
          <w:sz w:val="24"/>
          <w:szCs w:val="24"/>
          <w:lang w:eastAsia="en-US"/>
        </w:rPr>
        <w:t>Tertius</w:t>
      </w:r>
      <w:proofErr w:type="spellEnd"/>
      <w:r w:rsidRPr="005B0A67">
        <w:rPr>
          <w:rFonts w:ascii="Garamond" w:eastAsia="Times New Roman" w:hAnsi="Garamond" w:cs="Times New Roman"/>
          <w:sz w:val="24"/>
          <w:szCs w:val="24"/>
          <w:lang w:eastAsia="en-US"/>
        </w:rPr>
        <w:t xml:space="preserve"> 1987 </w:t>
      </w:r>
      <w:r w:rsidRPr="005B0A67">
        <w:rPr>
          <w:rFonts w:ascii="Garamond" w:eastAsia="Times New Roman" w:hAnsi="Garamond" w:cs="Times New Roman"/>
          <w:i/>
          <w:sz w:val="24"/>
          <w:szCs w:val="24"/>
          <w:lang w:eastAsia="en-US"/>
        </w:rPr>
        <w:t>Four Thousand Years of Urban Growth: An Historical Census</w:t>
      </w:r>
      <w:r w:rsidRPr="005B0A67">
        <w:rPr>
          <w:rFonts w:ascii="Garamond" w:eastAsia="Times New Roman" w:hAnsi="Garamond" w:cs="Times New Roman"/>
          <w:sz w:val="24"/>
          <w:szCs w:val="24"/>
          <w:lang w:eastAsia="en-US"/>
        </w:rPr>
        <w:t xml:space="preserve">.  Lewiston, N.Y.: Edwin </w:t>
      </w:r>
    </w:p>
    <w:p w:rsidR="005E1517" w:rsidRPr="005B0A67" w:rsidRDefault="005E1517" w:rsidP="005E1517">
      <w:pPr>
        <w:ind w:left="720" w:hanging="720"/>
        <w:rPr>
          <w:rFonts w:ascii="Garamond" w:eastAsia="Times New Roman" w:hAnsi="Garamond" w:cs="Times New Roman"/>
          <w:sz w:val="24"/>
          <w:szCs w:val="24"/>
          <w:lang w:eastAsia="en-US"/>
        </w:rPr>
      </w:pPr>
      <w:r w:rsidRPr="005B0A67">
        <w:rPr>
          <w:rFonts w:ascii="Garamond" w:eastAsia="Times New Roman" w:hAnsi="Garamond" w:cs="Times New Roman"/>
          <w:sz w:val="24"/>
          <w:szCs w:val="24"/>
          <w:lang w:eastAsia="en-US"/>
        </w:rPr>
        <w:tab/>
        <w:t>Mellon 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Chase-Dunn, Christopher 1985 "The system of world cities: A.D. 800-1975." Pp. 269-292 in</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 xml:space="preserve">Michael Timberlake </w:t>
      </w:r>
      <w:r w:rsidR="00784171" w:rsidRPr="005B0A67">
        <w:rPr>
          <w:rFonts w:ascii="Garamond" w:eastAsia="Times New Roman" w:hAnsi="Garamond" w:cs="Times New Roman"/>
          <w:color w:val="000000"/>
          <w:sz w:val="24"/>
          <w:szCs w:val="24"/>
          <w:lang w:eastAsia="en-US"/>
        </w:rPr>
        <w:t>(</w:t>
      </w:r>
      <w:r w:rsidRPr="005B0A67">
        <w:rPr>
          <w:rFonts w:ascii="Garamond" w:eastAsia="Times New Roman" w:hAnsi="Garamond" w:cs="Times New Roman"/>
          <w:color w:val="000000"/>
          <w:sz w:val="24"/>
          <w:szCs w:val="24"/>
          <w:lang w:eastAsia="en-US"/>
        </w:rPr>
        <w:t>ed.) </w:t>
      </w:r>
      <w:r w:rsidRPr="005B0A67">
        <w:rPr>
          <w:rFonts w:ascii="Garamond" w:eastAsia="Times New Roman" w:hAnsi="Garamond" w:cs="Times New Roman"/>
          <w:i/>
          <w:iCs/>
          <w:color w:val="000000"/>
          <w:sz w:val="24"/>
          <w:szCs w:val="24"/>
          <w:lang w:eastAsia="en-US"/>
        </w:rPr>
        <w:t>Urbanization in the World-Economy</w:t>
      </w:r>
      <w:r w:rsidRPr="005B0A67">
        <w:rPr>
          <w:rFonts w:ascii="Garamond" w:eastAsia="Times New Roman" w:hAnsi="Garamond" w:cs="Times New Roman"/>
          <w:color w:val="000000"/>
          <w:sz w:val="24"/>
          <w:szCs w:val="24"/>
          <w:lang w:eastAsia="en-US"/>
        </w:rPr>
        <w:t>, New York: Academic</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Chase-Dunn, C.  1988. "Comparing world-systems: Toward a theory of semiperipheral</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development," </w:t>
      </w:r>
      <w:r w:rsidRPr="005B0A67">
        <w:rPr>
          <w:rFonts w:ascii="Garamond" w:eastAsia="Times New Roman" w:hAnsi="Garamond" w:cs="Times New Roman"/>
          <w:i/>
          <w:iCs/>
          <w:color w:val="000000"/>
          <w:sz w:val="24"/>
          <w:szCs w:val="24"/>
          <w:lang w:eastAsia="en-US"/>
        </w:rPr>
        <w:t>Comparative Civilizations Review</w:t>
      </w:r>
      <w:r w:rsidRPr="005B0A67">
        <w:rPr>
          <w:rFonts w:ascii="Garamond" w:eastAsia="Times New Roman" w:hAnsi="Garamond" w:cs="Times New Roman"/>
          <w:color w:val="000000"/>
          <w:sz w:val="24"/>
          <w:szCs w:val="24"/>
          <w:lang w:eastAsia="en-US"/>
        </w:rPr>
        <w:t>, 19:29-66, Fall.</w:t>
      </w:r>
    </w:p>
    <w:p w:rsidR="0036146F"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Chase-Dunn, C and Thomas D. Hall 1993"Comparing World-Systems:  Concepts and</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Working Hypotheses" </w:t>
      </w:r>
      <w:r w:rsidRPr="005B0A67">
        <w:rPr>
          <w:rFonts w:ascii="Garamond" w:eastAsia="Times New Roman" w:hAnsi="Garamond" w:cs="Times New Roman"/>
          <w:i/>
          <w:iCs/>
          <w:color w:val="000000"/>
          <w:sz w:val="24"/>
          <w:szCs w:val="24"/>
          <w:lang w:eastAsia="en-US"/>
        </w:rPr>
        <w:t>Social Forces</w:t>
      </w:r>
      <w:r w:rsidRPr="005B0A67">
        <w:rPr>
          <w:rFonts w:ascii="Garamond" w:eastAsia="Times New Roman" w:hAnsi="Garamond" w:cs="Times New Roman"/>
          <w:color w:val="000000"/>
          <w:sz w:val="24"/>
          <w:szCs w:val="24"/>
          <w:lang w:eastAsia="en-US"/>
        </w:rPr>
        <w:t> 71:4(June):851-886.</w:t>
      </w:r>
    </w:p>
    <w:p w:rsidR="004263DA" w:rsidRPr="005B0A67" w:rsidRDefault="00784171"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______ . </w:t>
      </w:r>
      <w:r w:rsidR="004263DA" w:rsidRPr="005B0A67">
        <w:rPr>
          <w:rFonts w:ascii="Garamond" w:eastAsia="Times New Roman" w:hAnsi="Garamond" w:cs="Times New Roman"/>
          <w:color w:val="000000"/>
          <w:sz w:val="24"/>
          <w:szCs w:val="24"/>
          <w:lang w:eastAsia="en-US"/>
        </w:rPr>
        <w:t>1997 </w:t>
      </w:r>
      <w:r w:rsidR="004263DA" w:rsidRPr="005B0A67">
        <w:rPr>
          <w:rFonts w:ascii="Garamond" w:eastAsia="Times New Roman" w:hAnsi="Garamond" w:cs="Times New Roman"/>
          <w:i/>
          <w:iCs/>
          <w:color w:val="000000"/>
          <w:sz w:val="24"/>
          <w:szCs w:val="24"/>
          <w:lang w:eastAsia="en-US"/>
        </w:rPr>
        <w:t>Rise and Demise: Comparing World-Systems</w:t>
      </w:r>
      <w:r w:rsidR="004263DA" w:rsidRPr="005B0A67">
        <w:rPr>
          <w:rFonts w:ascii="Garamond" w:eastAsia="Times New Roman" w:hAnsi="Garamond" w:cs="Times New Roman"/>
          <w:color w:val="000000"/>
          <w:sz w:val="24"/>
          <w:szCs w:val="24"/>
          <w:lang w:eastAsia="en-US"/>
        </w:rPr>
        <w:t> Boulder, CO.: Westview Press.</w:t>
      </w:r>
    </w:p>
    <w:p w:rsidR="004263DA" w:rsidRPr="005B0A67" w:rsidRDefault="004263DA" w:rsidP="0069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aramond" w:eastAsia="Times New Roman" w:hAnsi="Garamond" w:cs="Courier New"/>
          <w:color w:val="000000"/>
          <w:sz w:val="24"/>
          <w:szCs w:val="24"/>
          <w:lang w:eastAsia="en-US"/>
        </w:rPr>
      </w:pPr>
      <w:r w:rsidRPr="005B0A67">
        <w:rPr>
          <w:rFonts w:ascii="Garamond" w:eastAsia="Times New Roman" w:hAnsi="Garamond" w:cs="Courier New"/>
          <w:color w:val="000000"/>
          <w:sz w:val="24"/>
          <w:szCs w:val="24"/>
          <w:lang w:eastAsia="en-US"/>
        </w:rPr>
        <w:t xml:space="preserve">Chase-Dunn, Christopher, Thomas D. Hall, &amp; Peter </w:t>
      </w:r>
      <w:proofErr w:type="spellStart"/>
      <w:r w:rsidRPr="005B0A67">
        <w:rPr>
          <w:rFonts w:ascii="Garamond" w:eastAsia="Times New Roman" w:hAnsi="Garamond" w:cs="Courier New"/>
          <w:color w:val="000000"/>
          <w:sz w:val="24"/>
          <w:szCs w:val="24"/>
          <w:lang w:eastAsia="en-US"/>
        </w:rPr>
        <w:t>Turc</w:t>
      </w:r>
      <w:r w:rsidR="004D0421" w:rsidRPr="005B0A67">
        <w:rPr>
          <w:rFonts w:ascii="Garamond" w:eastAsia="Times New Roman" w:hAnsi="Garamond" w:cs="Courier New"/>
          <w:color w:val="000000"/>
          <w:sz w:val="24"/>
          <w:szCs w:val="24"/>
          <w:lang w:eastAsia="en-US"/>
        </w:rPr>
        <w:t>hin</w:t>
      </w:r>
      <w:proofErr w:type="spellEnd"/>
      <w:r w:rsidR="004D0421" w:rsidRPr="005B0A67">
        <w:rPr>
          <w:rFonts w:ascii="Garamond" w:eastAsia="Times New Roman" w:hAnsi="Garamond" w:cs="Courier New"/>
          <w:color w:val="000000"/>
          <w:sz w:val="24"/>
          <w:szCs w:val="24"/>
          <w:lang w:eastAsia="en-US"/>
        </w:rPr>
        <w:t xml:space="preserve">. 2007 “World-Systems in the </w:t>
      </w:r>
      <w:proofErr w:type="spellStart"/>
      <w:r w:rsidRPr="005B0A67">
        <w:rPr>
          <w:rFonts w:ascii="Garamond" w:eastAsia="Times New Roman" w:hAnsi="Garamond" w:cs="Courier New"/>
          <w:color w:val="000000"/>
          <w:sz w:val="24"/>
          <w:szCs w:val="24"/>
          <w:lang w:eastAsia="en-US"/>
        </w:rPr>
        <w:t>Biogeosphere</w:t>
      </w:r>
      <w:proofErr w:type="spellEnd"/>
      <w:r w:rsidRPr="005B0A67">
        <w:rPr>
          <w:rFonts w:ascii="Garamond" w:eastAsia="Times New Roman" w:hAnsi="Garamond" w:cs="Courier New"/>
          <w:color w:val="000000"/>
          <w:sz w:val="24"/>
          <w:szCs w:val="24"/>
          <w:lang w:eastAsia="en-US"/>
        </w:rPr>
        <w:t xml:space="preserve">: Urbanization, State Formation, and Climate Change Since the Iron Age.” Pp.132-148 in </w:t>
      </w:r>
      <w:r w:rsidRPr="005B0A67">
        <w:rPr>
          <w:rFonts w:ascii="Garamond" w:eastAsia="Times New Roman" w:hAnsi="Garamond" w:cs="Courier New"/>
          <w:i/>
          <w:iCs/>
          <w:color w:val="000000"/>
          <w:sz w:val="24"/>
          <w:szCs w:val="24"/>
          <w:lang w:eastAsia="en-US"/>
        </w:rPr>
        <w:t>The World System and the Earth System: Global Socioenvironmental Change and Sustainability Since the Neolithic</w:t>
      </w:r>
      <w:r w:rsidRPr="005B0A67">
        <w:rPr>
          <w:rFonts w:ascii="Garamond" w:eastAsia="Times New Roman" w:hAnsi="Garamond" w:cs="Courier New"/>
          <w:color w:val="000000"/>
          <w:sz w:val="24"/>
          <w:szCs w:val="24"/>
          <w:lang w:eastAsia="en-US"/>
        </w:rPr>
        <w:t xml:space="preserve">, edited by Alf </w:t>
      </w:r>
      <w:proofErr w:type="spellStart"/>
      <w:r w:rsidRPr="005B0A67">
        <w:rPr>
          <w:rFonts w:ascii="Garamond" w:eastAsia="Times New Roman" w:hAnsi="Garamond" w:cs="Courier New"/>
          <w:color w:val="000000"/>
          <w:sz w:val="24"/>
          <w:szCs w:val="24"/>
          <w:lang w:eastAsia="en-US"/>
        </w:rPr>
        <w:t>Hornborg</w:t>
      </w:r>
      <w:proofErr w:type="spellEnd"/>
      <w:r w:rsidRPr="005B0A67">
        <w:rPr>
          <w:rFonts w:ascii="Garamond" w:eastAsia="Times New Roman" w:hAnsi="Garamond" w:cs="Courier New"/>
          <w:color w:val="000000"/>
          <w:sz w:val="24"/>
          <w:szCs w:val="24"/>
          <w:lang w:eastAsia="en-US"/>
        </w:rPr>
        <w:t xml:space="preserve"> and Carole L. </w:t>
      </w:r>
      <w:proofErr w:type="spellStart"/>
      <w:r w:rsidRPr="005B0A67">
        <w:rPr>
          <w:rFonts w:ascii="Garamond" w:eastAsia="Times New Roman" w:hAnsi="Garamond" w:cs="Courier New"/>
          <w:color w:val="000000"/>
          <w:sz w:val="24"/>
          <w:szCs w:val="24"/>
          <w:lang w:eastAsia="en-US"/>
        </w:rPr>
        <w:t>Crumley</w:t>
      </w:r>
      <w:proofErr w:type="spellEnd"/>
      <w:r w:rsidRPr="005B0A67">
        <w:rPr>
          <w:rFonts w:ascii="Garamond" w:eastAsia="Times New Roman" w:hAnsi="Garamond" w:cs="Courier New"/>
          <w:color w:val="000000"/>
          <w:sz w:val="24"/>
          <w:szCs w:val="24"/>
          <w:lang w:eastAsia="en-US"/>
        </w:rPr>
        <w:t>. Walnut Creek, CA: Left Coast Books.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Chase-Dunn, C. and Susan Manning, 2002 "</w:t>
      </w:r>
      <w:hyperlink r:id="rId25" w:history="1">
        <w:r w:rsidRPr="005B0A67">
          <w:rPr>
            <w:rFonts w:ascii="Garamond" w:eastAsia="Times New Roman" w:hAnsi="Garamond" w:cs="Times New Roman"/>
            <w:color w:val="800080"/>
            <w:sz w:val="24"/>
            <w:szCs w:val="24"/>
            <w:u w:val="single"/>
            <w:lang w:eastAsia="en-US"/>
          </w:rPr>
          <w:t>City systems and world-systems: four millennia of city growth and decline</w:t>
        </w:r>
      </w:hyperlink>
      <w:r w:rsidRPr="005B0A67">
        <w:rPr>
          <w:rFonts w:ascii="Garamond" w:eastAsia="Times New Roman" w:hAnsi="Garamond" w:cs="Times New Roman"/>
          <w:color w:val="000000"/>
          <w:sz w:val="24"/>
          <w:szCs w:val="24"/>
          <w:lang w:eastAsia="en-US"/>
        </w:rPr>
        <w:t>," </w:t>
      </w:r>
      <w:r w:rsidR="004D0421"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Cross-Cultural Research</w:t>
      </w:r>
      <w:r w:rsidRPr="005B0A67">
        <w:rPr>
          <w:rFonts w:ascii="Garamond" w:eastAsia="Times New Roman" w:hAnsi="Garamond" w:cs="Times New Roman"/>
          <w:color w:val="000000"/>
          <w:sz w:val="24"/>
          <w:szCs w:val="24"/>
          <w:lang w:eastAsia="en-US"/>
        </w:rPr>
        <w:t> 36, 4: 379-398 (November</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Chase-Dunn, C. , Susan Manning and Thomas D. Hall 2000 “Rise and fall: East-West</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 xml:space="preserve">synchronicity and </w:t>
      </w:r>
      <w:r w:rsidR="00B4348D">
        <w:rPr>
          <w:rFonts w:ascii="Garamond" w:eastAsia="Times New Roman" w:hAnsi="Garamond" w:cs="Times New Roman"/>
          <w:color w:val="000000"/>
          <w:sz w:val="24"/>
          <w:szCs w:val="24"/>
          <w:lang w:eastAsia="en-US"/>
        </w:rPr>
        <w:t>South Asia</w:t>
      </w:r>
      <w:r w:rsidRPr="005B0A67">
        <w:rPr>
          <w:rFonts w:ascii="Garamond" w:eastAsia="Times New Roman" w:hAnsi="Garamond" w:cs="Times New Roman"/>
          <w:color w:val="000000"/>
          <w:sz w:val="24"/>
          <w:szCs w:val="24"/>
          <w:lang w:eastAsia="en-US"/>
        </w:rPr>
        <w:t xml:space="preserve"> exceptionalism reexamined,” </w:t>
      </w:r>
      <w:r w:rsidRPr="005B0A67">
        <w:rPr>
          <w:rFonts w:ascii="Garamond" w:eastAsia="Times New Roman" w:hAnsi="Garamond" w:cs="Times New Roman"/>
          <w:i/>
          <w:iCs/>
          <w:color w:val="000000"/>
          <w:sz w:val="24"/>
          <w:szCs w:val="24"/>
          <w:lang w:eastAsia="en-US"/>
        </w:rPr>
        <w:t>Social Science History</w:t>
      </w:r>
      <w:r w:rsidRPr="005B0A67">
        <w:rPr>
          <w:rFonts w:ascii="Garamond" w:eastAsia="Times New Roman" w:hAnsi="Garamond" w:cs="Times New Roman"/>
          <w:color w:val="000000"/>
          <w:sz w:val="24"/>
          <w:szCs w:val="24"/>
          <w:lang w:eastAsia="en-US"/>
        </w:rPr>
        <w:t>. 24,4:727-754.</w:t>
      </w:r>
    </w:p>
    <w:p w:rsidR="004263DA" w:rsidRPr="005B0A67" w:rsidRDefault="004263DA" w:rsidP="00AF1435">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Chase-Dunn C. and Alice Willard 1994 "Cities in the Central Political-Military Network</w:t>
      </w:r>
      <w:r w:rsidR="004D0421" w:rsidRPr="005B0A67">
        <w:rPr>
          <w:rFonts w:ascii="Garamond" w:eastAsia="Times New Roman" w:hAnsi="Garamond" w:cs="Times New Roman"/>
          <w:color w:val="000000"/>
          <w:sz w:val="24"/>
          <w:szCs w:val="24"/>
          <w:lang w:eastAsia="en-US"/>
        </w:rPr>
        <w:t xml:space="preserve"> s</w:t>
      </w:r>
      <w:r w:rsidRPr="005B0A67">
        <w:rPr>
          <w:rFonts w:ascii="Garamond" w:eastAsia="Times New Roman" w:hAnsi="Garamond" w:cs="Times New Roman"/>
          <w:color w:val="000000"/>
          <w:sz w:val="24"/>
          <w:szCs w:val="24"/>
          <w:lang w:eastAsia="en-US"/>
        </w:rPr>
        <w:t>ince CE 1200" </w:t>
      </w:r>
      <w:r w:rsidRPr="005B0A67">
        <w:rPr>
          <w:rFonts w:ascii="Garamond" w:eastAsia="Times New Roman" w:hAnsi="Garamond" w:cs="Times New Roman"/>
          <w:i/>
          <w:iCs/>
          <w:color w:val="000000"/>
          <w:sz w:val="24"/>
          <w:szCs w:val="24"/>
          <w:lang w:eastAsia="en-US"/>
        </w:rPr>
        <w:t>Comparative Civilizations Review,</w:t>
      </w:r>
      <w:r w:rsidRPr="005B0A67">
        <w:rPr>
          <w:rFonts w:ascii="Garamond" w:eastAsia="Times New Roman" w:hAnsi="Garamond" w:cs="Times New Roman"/>
          <w:color w:val="000000"/>
          <w:sz w:val="24"/>
          <w:szCs w:val="24"/>
          <w:lang w:eastAsia="en-US"/>
        </w:rPr>
        <w:t> 30:104-32 (Spring).</w:t>
      </w:r>
    </w:p>
    <w:p w:rsidR="004A7616" w:rsidRPr="005B0A67" w:rsidRDefault="00AF1435" w:rsidP="00AF1435">
      <w:pPr>
        <w:shd w:val="clear" w:color="auto" w:fill="FFFFC0"/>
        <w:rPr>
          <w:rFonts w:ascii="Garamond" w:eastAsia="Times New Roman" w:hAnsi="Garamond" w:cs="Times New Roman"/>
          <w:i/>
          <w:iCs/>
          <w:color w:val="000000"/>
          <w:sz w:val="24"/>
          <w:szCs w:val="24"/>
          <w:lang w:eastAsia="en-US"/>
        </w:rPr>
      </w:pPr>
      <w:r w:rsidRPr="005B0A67">
        <w:rPr>
          <w:rFonts w:ascii="Garamond" w:eastAsia="Times New Roman" w:hAnsi="Garamond" w:cs="Times New Roman"/>
          <w:color w:val="000000"/>
          <w:sz w:val="24"/>
          <w:szCs w:val="24"/>
          <w:lang w:eastAsia="en-US"/>
        </w:rPr>
        <w:t xml:space="preserve"> Chase-</w:t>
      </w:r>
      <w:proofErr w:type="spellStart"/>
      <w:r w:rsidRPr="005B0A67">
        <w:rPr>
          <w:rFonts w:ascii="Garamond" w:eastAsia="Times New Roman" w:hAnsi="Garamond" w:cs="Times New Roman"/>
          <w:color w:val="000000"/>
          <w:sz w:val="24"/>
          <w:szCs w:val="24"/>
          <w:lang w:eastAsia="en-US"/>
        </w:rPr>
        <w:t>Dunn,C</w:t>
      </w:r>
      <w:proofErr w:type="spellEnd"/>
      <w:r w:rsidRPr="005B0A67">
        <w:rPr>
          <w:rFonts w:ascii="Garamond" w:eastAsia="Times New Roman" w:hAnsi="Garamond" w:cs="Times New Roman"/>
          <w:color w:val="000000"/>
          <w:sz w:val="24"/>
          <w:szCs w:val="24"/>
          <w:lang w:eastAsia="en-US"/>
        </w:rPr>
        <w:t>.  Alexis Alvarez, and Daniel </w:t>
      </w:r>
      <w:proofErr w:type="spellStart"/>
      <w:r w:rsidRPr="005B0A67">
        <w:rPr>
          <w:rFonts w:ascii="Garamond" w:eastAsia="Times New Roman" w:hAnsi="Garamond" w:cs="Times New Roman"/>
          <w:color w:val="000000"/>
          <w:sz w:val="24"/>
          <w:szCs w:val="24"/>
          <w:lang w:eastAsia="en-US"/>
        </w:rPr>
        <w:t>Pasciuti</w:t>
      </w:r>
      <w:proofErr w:type="spellEnd"/>
      <w:r w:rsidRPr="005B0A67">
        <w:rPr>
          <w:rFonts w:ascii="Garamond" w:eastAsia="Times New Roman" w:hAnsi="Garamond" w:cs="Times New Roman"/>
          <w:color w:val="000000"/>
          <w:sz w:val="24"/>
          <w:szCs w:val="24"/>
          <w:lang w:eastAsia="en-US"/>
        </w:rPr>
        <w:t> </w:t>
      </w:r>
      <w:r w:rsidR="004A7616" w:rsidRPr="005B0A67">
        <w:rPr>
          <w:rFonts w:ascii="Garamond" w:eastAsia="Times New Roman" w:hAnsi="Garamond" w:cs="Times New Roman"/>
          <w:color w:val="000000"/>
          <w:sz w:val="24"/>
          <w:szCs w:val="24"/>
          <w:lang w:eastAsia="en-US"/>
        </w:rPr>
        <w:t xml:space="preserve">2005 </w:t>
      </w:r>
      <w:hyperlink r:id="rId26" w:history="1">
        <w:r w:rsidRPr="005B0A67">
          <w:rPr>
            <w:rFonts w:ascii="Garamond" w:eastAsia="Times New Roman" w:hAnsi="Garamond" w:cs="Times New Roman"/>
            <w:color w:val="800080"/>
            <w:sz w:val="24"/>
            <w:szCs w:val="24"/>
            <w:u w:val="single"/>
            <w:lang w:eastAsia="en-US"/>
          </w:rPr>
          <w:t>"Power and Size; urbanization and empire formation in world-systems"</w:t>
        </w:r>
      </w:hyperlink>
      <w:r w:rsidRPr="005B0A67">
        <w:rPr>
          <w:rFonts w:ascii="Garamond" w:eastAsia="Times New Roman" w:hAnsi="Garamond" w:cs="Times New Roman"/>
          <w:color w:val="000000"/>
          <w:sz w:val="24"/>
          <w:szCs w:val="24"/>
          <w:lang w:eastAsia="en-US"/>
        </w:rPr>
        <w:t> Pp. 92-112 in  C. Chase-Dunn and E.N. Anderson (eds.) </w:t>
      </w:r>
      <w:r w:rsidRPr="005B0A67">
        <w:rPr>
          <w:rFonts w:ascii="Garamond" w:eastAsia="Times New Roman" w:hAnsi="Garamond" w:cs="Times New Roman"/>
          <w:i/>
          <w:iCs/>
          <w:color w:val="000000"/>
          <w:sz w:val="24"/>
          <w:szCs w:val="24"/>
          <w:lang w:eastAsia="en-US"/>
        </w:rPr>
        <w:t>The Historical Evolution</w:t>
      </w:r>
    </w:p>
    <w:p w:rsidR="00AF1435" w:rsidRPr="005B0A67" w:rsidRDefault="00AF1435" w:rsidP="004A7616">
      <w:pPr>
        <w:shd w:val="clear" w:color="auto" w:fill="FFFFC0"/>
        <w:ind w:firstLine="720"/>
        <w:rPr>
          <w:rFonts w:ascii="Garamond" w:eastAsia="Times New Roman" w:hAnsi="Garamond" w:cs="Times New Roman"/>
          <w:color w:val="000000"/>
          <w:sz w:val="24"/>
          <w:szCs w:val="24"/>
          <w:lang w:eastAsia="en-US"/>
        </w:rPr>
      </w:pPr>
      <w:r w:rsidRPr="005B0A67">
        <w:rPr>
          <w:rFonts w:ascii="Garamond" w:eastAsia="Times New Roman" w:hAnsi="Garamond" w:cs="Times New Roman"/>
          <w:i/>
          <w:iCs/>
          <w:color w:val="000000"/>
          <w:sz w:val="24"/>
          <w:szCs w:val="24"/>
          <w:lang w:eastAsia="en-US"/>
        </w:rPr>
        <w:t xml:space="preserve"> of World-Systems</w:t>
      </w:r>
      <w:r w:rsidRPr="005B0A67">
        <w:rPr>
          <w:rFonts w:ascii="Garamond" w:eastAsia="Times New Roman" w:hAnsi="Garamond" w:cs="Times New Roman"/>
          <w:color w:val="000000"/>
          <w:sz w:val="24"/>
          <w:szCs w:val="24"/>
          <w:lang w:eastAsia="en-US"/>
        </w:rPr>
        <w:t>. New York: Palgrave.</w:t>
      </w:r>
    </w:p>
    <w:p w:rsidR="004A7616" w:rsidRPr="005B0A67" w:rsidRDefault="004A7616" w:rsidP="004A7616">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eastAsia="Arial Unicode MS" w:hAnsi="Garamond" w:cs="Times New Roman"/>
          <w:color w:val="000000"/>
          <w:sz w:val="24"/>
          <w:szCs w:val="24"/>
          <w:lang w:eastAsia="en-US"/>
        </w:rPr>
      </w:pPr>
      <w:r w:rsidRPr="005B0A67">
        <w:rPr>
          <w:rFonts w:ascii="Garamond" w:eastAsia="Arial Unicode MS" w:hAnsi="Garamond" w:cs="Times New Roman"/>
          <w:color w:val="000000"/>
          <w:sz w:val="24"/>
          <w:szCs w:val="24"/>
          <w:lang w:eastAsia="en-US"/>
        </w:rPr>
        <w:t xml:space="preserve">Chase-Dunn, C. Daniel </w:t>
      </w:r>
      <w:proofErr w:type="spellStart"/>
      <w:r w:rsidRPr="005B0A67">
        <w:rPr>
          <w:rFonts w:ascii="Garamond" w:eastAsia="Arial Unicode MS" w:hAnsi="Garamond" w:cs="Times New Roman"/>
          <w:color w:val="000000"/>
          <w:sz w:val="24"/>
          <w:szCs w:val="24"/>
          <w:lang w:eastAsia="en-US"/>
        </w:rPr>
        <w:t>Pasciuti</w:t>
      </w:r>
      <w:proofErr w:type="spellEnd"/>
      <w:r w:rsidRPr="005B0A67">
        <w:rPr>
          <w:rFonts w:ascii="Garamond" w:eastAsia="Arial Unicode MS" w:hAnsi="Garamond" w:cs="Times New Roman"/>
          <w:color w:val="000000"/>
          <w:sz w:val="24"/>
          <w:szCs w:val="24"/>
          <w:lang w:eastAsia="en-US"/>
        </w:rPr>
        <w:t xml:space="preserve">, Alexis Alvarez and Thomas D. Hall. 2006 </w:t>
      </w:r>
      <w:r w:rsidRPr="005B0A67">
        <w:rPr>
          <w:rFonts w:ascii="Garamond" w:eastAsia="Arial Unicode MS" w:hAnsi="Garamond" w:cs="Arial Unicode MS"/>
          <w:color w:val="000000"/>
          <w:sz w:val="24"/>
          <w:szCs w:val="24"/>
          <w:lang w:eastAsia="en-US"/>
        </w:rPr>
        <w:t>“</w:t>
      </w:r>
      <w:r w:rsidRPr="005B0A67">
        <w:rPr>
          <w:rFonts w:ascii="Garamond" w:eastAsia="Arial Unicode MS" w:hAnsi="Garamond" w:cs="Times New Roman"/>
          <w:color w:val="000000"/>
          <w:sz w:val="24"/>
          <w:szCs w:val="24"/>
          <w:lang w:eastAsia="en-US"/>
        </w:rPr>
        <w:t xml:space="preserve">Waves of Globalization and </w:t>
      </w:r>
    </w:p>
    <w:p w:rsidR="004A7616" w:rsidRPr="005B0A67" w:rsidRDefault="004A7616" w:rsidP="004A7616">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aramond" w:eastAsia="Arial Unicode MS" w:hAnsi="Garamond" w:cs="Times New Roman"/>
          <w:color w:val="000000"/>
          <w:sz w:val="24"/>
          <w:szCs w:val="24"/>
          <w:lang w:eastAsia="en-US"/>
        </w:rPr>
      </w:pPr>
      <w:r w:rsidRPr="005B0A67">
        <w:rPr>
          <w:rFonts w:ascii="Garamond" w:eastAsia="Arial Unicode MS" w:hAnsi="Garamond" w:cs="Times New Roman"/>
          <w:color w:val="000000"/>
          <w:sz w:val="24"/>
          <w:szCs w:val="24"/>
          <w:lang w:eastAsia="en-US"/>
        </w:rPr>
        <w:tab/>
        <w:t>Semiperipheral Development in the Ancient Mesopotamian and Egyptian World-Systems</w:t>
      </w:r>
      <w:r w:rsidRPr="005B0A67">
        <w:rPr>
          <w:rFonts w:ascii="Garamond" w:eastAsia="Arial Unicode MS" w:hAnsi="Garamond" w:cs="Arial Unicode MS"/>
          <w:color w:val="000000"/>
          <w:sz w:val="24"/>
          <w:szCs w:val="24"/>
          <w:lang w:eastAsia="en-US"/>
        </w:rPr>
        <w:t>”</w:t>
      </w:r>
      <w:r w:rsidRPr="005B0A67">
        <w:rPr>
          <w:rFonts w:ascii="Garamond" w:eastAsia="Arial Unicode MS" w:hAnsi="Garamond" w:cs="Times New Roman"/>
          <w:color w:val="000000"/>
          <w:sz w:val="24"/>
          <w:szCs w:val="24"/>
          <w:lang w:eastAsia="en-US"/>
        </w:rPr>
        <w:t xml:space="preserve"> Pp. </w:t>
      </w:r>
    </w:p>
    <w:p w:rsidR="004A7616" w:rsidRPr="005B0A67" w:rsidRDefault="004A7616" w:rsidP="004A7616">
      <w:pPr>
        <w:shd w:val="clear" w:color="auto" w:fill="FFFFC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Garamond" w:eastAsia="Arial Unicode MS" w:hAnsi="Garamond" w:cs="Arial Unicode MS"/>
          <w:color w:val="000000"/>
          <w:sz w:val="24"/>
          <w:szCs w:val="24"/>
          <w:lang w:eastAsia="en-US"/>
        </w:rPr>
      </w:pPr>
      <w:r w:rsidRPr="005B0A67">
        <w:rPr>
          <w:rFonts w:ascii="Garamond" w:eastAsia="Arial Unicode MS" w:hAnsi="Garamond" w:cs="Times New Roman"/>
          <w:color w:val="000000"/>
          <w:sz w:val="24"/>
          <w:szCs w:val="24"/>
          <w:lang w:eastAsia="en-US"/>
        </w:rPr>
        <w:tab/>
        <w:t xml:space="preserve">114-138 in Barry Gills and William R. Thompson (eds.), </w:t>
      </w:r>
      <w:r w:rsidRPr="005B0A67">
        <w:rPr>
          <w:rFonts w:ascii="Garamond" w:eastAsia="Arial Unicode MS" w:hAnsi="Garamond" w:cs="Times New Roman"/>
          <w:i/>
          <w:iCs/>
          <w:color w:val="000000"/>
          <w:sz w:val="24"/>
          <w:szCs w:val="24"/>
          <w:lang w:eastAsia="en-US"/>
        </w:rPr>
        <w:t xml:space="preserve">Globalization and Global History </w:t>
      </w:r>
      <w:r w:rsidRPr="005B0A67">
        <w:rPr>
          <w:rFonts w:ascii="Garamond" w:eastAsia="Arial Unicode MS" w:hAnsi="Garamond" w:cs="Times New Roman"/>
          <w:color w:val="000000"/>
          <w:sz w:val="24"/>
          <w:szCs w:val="24"/>
          <w:lang w:eastAsia="en-US"/>
        </w:rPr>
        <w:t>London: Routledge.</w:t>
      </w:r>
    </w:p>
    <w:p w:rsidR="00807EEC" w:rsidRPr="005B0A67" w:rsidRDefault="004263DA" w:rsidP="00AF1435">
      <w:pPr>
        <w:keepNext/>
        <w:ind w:left="720" w:hanging="720"/>
        <w:jc w:val="both"/>
        <w:outlineLvl w:val="3"/>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Chase-Dunn, C. and Andrew K. Jorgenson 2003 “Regions and Interaction Networks: an</w:t>
      </w:r>
      <w:r w:rsidR="004D042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institutional materialist perspective,” </w:t>
      </w:r>
      <w:r w:rsidRPr="005B0A67">
        <w:rPr>
          <w:rFonts w:ascii="Garamond" w:eastAsia="Times New Roman" w:hAnsi="Garamond" w:cs="Times New Roman"/>
          <w:i/>
          <w:iCs/>
          <w:color w:val="000000"/>
          <w:sz w:val="24"/>
          <w:szCs w:val="24"/>
          <w:lang w:eastAsia="en-US"/>
        </w:rPr>
        <w:t>International Journal of Comparative Sociology</w:t>
      </w:r>
      <w:r w:rsidRPr="005B0A67">
        <w:rPr>
          <w:rFonts w:ascii="Garamond" w:eastAsia="Times New Roman" w:hAnsi="Garamond" w:cs="Times New Roman"/>
          <w:color w:val="000000"/>
          <w:sz w:val="24"/>
          <w:szCs w:val="24"/>
          <w:lang w:eastAsia="en-US"/>
        </w:rPr>
        <w:t>44,1:433-450.</w:t>
      </w:r>
    </w:p>
    <w:p w:rsidR="00807EEC" w:rsidRPr="005B0A67" w:rsidRDefault="004263DA" w:rsidP="002576D2">
      <w:pPr>
        <w:keepNext/>
        <w:ind w:left="720" w:hanging="720"/>
        <w:outlineLvl w:val="3"/>
        <w:rPr>
          <w:rFonts w:ascii="Garamond" w:eastAsia="Times New Roman" w:hAnsi="Garamond" w:cs="Times New Roman"/>
          <w:color w:val="000000"/>
          <w:sz w:val="24"/>
          <w:szCs w:val="24"/>
          <w:lang w:eastAsia="en-US"/>
        </w:rPr>
      </w:pPr>
      <w:r w:rsidRPr="005B0A67">
        <w:rPr>
          <w:rFonts w:ascii="Garamond" w:hAnsi="Garamond"/>
          <w:color w:val="000000"/>
          <w:sz w:val="24"/>
          <w:szCs w:val="24"/>
          <w:lang w:eastAsia="en-US"/>
        </w:rPr>
        <w:t>Chas</w:t>
      </w:r>
      <w:r w:rsidR="00807EEC" w:rsidRPr="005B0A67">
        <w:rPr>
          <w:rFonts w:ascii="Garamond" w:hAnsi="Garamond"/>
          <w:color w:val="000000"/>
          <w:sz w:val="24"/>
          <w:szCs w:val="24"/>
          <w:lang w:eastAsia="en-US"/>
        </w:rPr>
        <w:t>e-Dunn, C. Eugene N. Anderson, </w:t>
      </w:r>
      <w:r w:rsidRPr="005B0A67">
        <w:rPr>
          <w:rFonts w:ascii="Garamond" w:hAnsi="Garamond"/>
          <w:color w:val="000000"/>
          <w:sz w:val="24"/>
          <w:szCs w:val="24"/>
          <w:lang w:eastAsia="en-US"/>
        </w:rPr>
        <w:t>Hiroko Inoue, Alexis </w:t>
      </w:r>
      <w:proofErr w:type="spellStart"/>
      <w:r w:rsidRPr="005B0A67">
        <w:rPr>
          <w:rFonts w:ascii="Garamond" w:hAnsi="Garamond"/>
          <w:color w:val="000000"/>
          <w:sz w:val="24"/>
          <w:szCs w:val="24"/>
          <w:lang w:eastAsia="en-US"/>
        </w:rPr>
        <w:t>Álvarez</w:t>
      </w:r>
      <w:proofErr w:type="spellEnd"/>
      <w:r w:rsidRPr="005B0A67">
        <w:rPr>
          <w:rFonts w:ascii="Garamond" w:hAnsi="Garamond"/>
          <w:color w:val="000000"/>
          <w:sz w:val="24"/>
          <w:szCs w:val="24"/>
          <w:lang w:eastAsia="en-US"/>
        </w:rPr>
        <w:t>, </w:t>
      </w:r>
      <w:proofErr w:type="spellStart"/>
      <w:r w:rsidRPr="005B0A67">
        <w:rPr>
          <w:rFonts w:ascii="Garamond" w:hAnsi="Garamond"/>
          <w:color w:val="000000"/>
          <w:sz w:val="24"/>
          <w:szCs w:val="24"/>
          <w:lang w:eastAsia="en-US"/>
        </w:rPr>
        <w:t>Lulin</w:t>
      </w:r>
      <w:proofErr w:type="spellEnd"/>
      <w:r w:rsidRPr="005B0A67">
        <w:rPr>
          <w:rFonts w:ascii="Garamond" w:hAnsi="Garamond"/>
          <w:color w:val="000000"/>
          <w:sz w:val="24"/>
          <w:szCs w:val="24"/>
          <w:lang w:eastAsia="en-US"/>
        </w:rPr>
        <w:t> </w:t>
      </w:r>
      <w:proofErr w:type="spellStart"/>
      <w:r w:rsidRPr="005B0A67">
        <w:rPr>
          <w:rFonts w:ascii="Garamond" w:hAnsi="Garamond"/>
          <w:color w:val="000000"/>
          <w:sz w:val="24"/>
          <w:szCs w:val="24"/>
          <w:lang w:eastAsia="en-US"/>
        </w:rPr>
        <w:t>Bao</w:t>
      </w:r>
      <w:proofErr w:type="spellEnd"/>
      <w:r w:rsidRPr="005B0A67">
        <w:rPr>
          <w:rFonts w:ascii="Garamond" w:hAnsi="Garamond"/>
          <w:color w:val="000000"/>
          <w:sz w:val="24"/>
          <w:szCs w:val="24"/>
          <w:lang w:eastAsia="en-US"/>
        </w:rPr>
        <w:t>,</w:t>
      </w:r>
      <w:r w:rsidR="004D0421" w:rsidRPr="005B0A67">
        <w:rPr>
          <w:rFonts w:ascii="Garamond" w:hAnsi="Garamond"/>
          <w:color w:val="000000"/>
          <w:sz w:val="24"/>
          <w:szCs w:val="24"/>
          <w:lang w:eastAsia="en-US"/>
        </w:rPr>
        <w:t xml:space="preserve"> </w:t>
      </w:r>
      <w:r w:rsidRPr="005B0A67">
        <w:rPr>
          <w:rFonts w:ascii="Garamond" w:hAnsi="Garamond"/>
          <w:color w:val="000000"/>
          <w:sz w:val="24"/>
          <w:szCs w:val="24"/>
          <w:lang w:eastAsia="en-US"/>
        </w:rPr>
        <w:t>Rebecca </w:t>
      </w:r>
      <w:proofErr w:type="spellStart"/>
      <w:r w:rsidRPr="005B0A67">
        <w:rPr>
          <w:rFonts w:ascii="Garamond" w:hAnsi="Garamond"/>
          <w:color w:val="000000"/>
          <w:sz w:val="24"/>
          <w:szCs w:val="24"/>
          <w:lang w:eastAsia="en-US"/>
        </w:rPr>
        <w:t>Álvarez</w:t>
      </w:r>
      <w:proofErr w:type="spellEnd"/>
      <w:r w:rsidRPr="005B0A67">
        <w:rPr>
          <w:rFonts w:ascii="Garamond" w:hAnsi="Garamond"/>
          <w:color w:val="000000"/>
          <w:sz w:val="24"/>
          <w:szCs w:val="24"/>
          <w:lang w:eastAsia="en-US"/>
        </w:rPr>
        <w:t>, Alina Khan and Christian </w:t>
      </w:r>
      <w:proofErr w:type="spellStart"/>
      <w:r w:rsidRPr="005B0A67">
        <w:rPr>
          <w:rFonts w:ascii="Garamond" w:hAnsi="Garamond"/>
          <w:color w:val="000000"/>
          <w:sz w:val="24"/>
          <w:szCs w:val="24"/>
          <w:lang w:eastAsia="en-US"/>
        </w:rPr>
        <w:t>Jaworski</w:t>
      </w:r>
      <w:proofErr w:type="spellEnd"/>
      <w:r w:rsidRPr="005B0A67">
        <w:rPr>
          <w:rFonts w:ascii="Garamond" w:hAnsi="Garamond"/>
          <w:color w:val="000000"/>
          <w:sz w:val="24"/>
          <w:szCs w:val="24"/>
          <w:lang w:eastAsia="en-US"/>
        </w:rPr>
        <w:t> 2013 Semiperipheral Capitalist City-States and the</w:t>
      </w:r>
      <w:r w:rsidR="004D0421" w:rsidRPr="005B0A67">
        <w:rPr>
          <w:rFonts w:ascii="Garamond" w:hAnsi="Garamond"/>
          <w:color w:val="000000"/>
          <w:sz w:val="24"/>
          <w:szCs w:val="24"/>
          <w:lang w:eastAsia="en-US"/>
        </w:rPr>
        <w:t xml:space="preserve"> </w:t>
      </w:r>
      <w:r w:rsidRPr="005B0A67">
        <w:rPr>
          <w:rFonts w:ascii="Garamond" w:hAnsi="Garamond"/>
          <w:color w:val="000000"/>
          <w:sz w:val="24"/>
          <w:szCs w:val="24"/>
          <w:lang w:eastAsia="en-US"/>
        </w:rPr>
        <w:t xml:space="preserve">Commodification of Wealth, Land, and Labor Since the Bronze Age </w:t>
      </w:r>
      <w:r w:rsidRPr="005B0A67">
        <w:rPr>
          <w:rFonts w:ascii="Garamond" w:hAnsi="Garamond"/>
          <w:sz w:val="24"/>
          <w:szCs w:val="24"/>
        </w:rPr>
        <w:t>IROWS Working Paper #79 available</w:t>
      </w:r>
      <w:r w:rsidR="004D0421" w:rsidRPr="005B0A67">
        <w:rPr>
          <w:rFonts w:ascii="Garamond" w:hAnsi="Garamond"/>
          <w:sz w:val="24"/>
          <w:szCs w:val="24"/>
        </w:rPr>
        <w:t xml:space="preserve"> </w:t>
      </w:r>
      <w:r w:rsidRPr="005B0A67">
        <w:rPr>
          <w:rFonts w:ascii="Garamond" w:hAnsi="Garamond"/>
          <w:sz w:val="24"/>
          <w:szCs w:val="24"/>
        </w:rPr>
        <w:t>at </w:t>
      </w:r>
      <w:hyperlink r:id="rId27" w:history="1">
        <w:r w:rsidRPr="005B0A67">
          <w:rPr>
            <w:rStyle w:val="Hyperlink"/>
            <w:rFonts w:ascii="Garamond" w:hAnsi="Garamond"/>
            <w:sz w:val="24"/>
            <w:szCs w:val="24"/>
          </w:rPr>
          <w:t>http://irows.ucr.edu/papers/irows79/irows79.htm</w:t>
        </w:r>
      </w:hyperlink>
    </w:p>
    <w:p w:rsidR="00807EEC" w:rsidRPr="005B0A67" w:rsidRDefault="004263DA" w:rsidP="002576D2">
      <w:pPr>
        <w:keepNext/>
        <w:ind w:left="720" w:hanging="720"/>
        <w:outlineLvl w:val="3"/>
        <w:rPr>
          <w:rFonts w:ascii="Garamond" w:eastAsia="Times New Roman" w:hAnsi="Garamond" w:cs="Times New Roman"/>
          <w:color w:val="000000"/>
          <w:sz w:val="24"/>
          <w:szCs w:val="24"/>
          <w:lang w:eastAsia="en-US"/>
        </w:rPr>
      </w:pPr>
      <w:r w:rsidRPr="005B0A67">
        <w:rPr>
          <w:rFonts w:ascii="Garamond" w:hAnsi="Garamond"/>
          <w:sz w:val="24"/>
          <w:szCs w:val="24"/>
        </w:rPr>
        <w:t>Chase-Dunn, C and Bruce </w:t>
      </w:r>
      <w:proofErr w:type="spellStart"/>
      <w:r w:rsidRPr="005B0A67">
        <w:rPr>
          <w:rFonts w:ascii="Garamond" w:hAnsi="Garamond"/>
          <w:sz w:val="24"/>
          <w:szCs w:val="24"/>
        </w:rPr>
        <w:t>Lerro</w:t>
      </w:r>
      <w:proofErr w:type="spellEnd"/>
      <w:r w:rsidRPr="005B0A67">
        <w:rPr>
          <w:rFonts w:ascii="Garamond" w:hAnsi="Garamond"/>
          <w:sz w:val="24"/>
          <w:szCs w:val="24"/>
        </w:rPr>
        <w:t> 2014 </w:t>
      </w:r>
      <w:r w:rsidRPr="005B0A67">
        <w:rPr>
          <w:rFonts w:ascii="Garamond" w:hAnsi="Garamond"/>
          <w:i/>
          <w:sz w:val="24"/>
          <w:szCs w:val="24"/>
        </w:rPr>
        <w:t>Social Change: Globalization from the Stone Age to the</w:t>
      </w:r>
      <w:r w:rsidR="004D0421" w:rsidRPr="005B0A67">
        <w:rPr>
          <w:rFonts w:ascii="Garamond" w:hAnsi="Garamond"/>
          <w:i/>
          <w:sz w:val="24"/>
          <w:szCs w:val="24"/>
        </w:rPr>
        <w:t xml:space="preserve"> </w:t>
      </w:r>
      <w:r w:rsidRPr="005B0A67">
        <w:rPr>
          <w:rFonts w:ascii="Garamond" w:hAnsi="Garamond"/>
          <w:i/>
          <w:sz w:val="24"/>
          <w:szCs w:val="24"/>
        </w:rPr>
        <w:t>Present</w:t>
      </w:r>
      <w:r w:rsidRPr="005B0A67">
        <w:rPr>
          <w:rFonts w:ascii="Garamond" w:hAnsi="Garamond"/>
          <w:sz w:val="24"/>
          <w:szCs w:val="24"/>
        </w:rPr>
        <w:t>. Boulder, CO: Paradigm</w:t>
      </w:r>
      <w:r w:rsidR="00807EEC" w:rsidRPr="005B0A67">
        <w:rPr>
          <w:rFonts w:ascii="Garamond" w:hAnsi="Garamond"/>
          <w:sz w:val="24"/>
          <w:szCs w:val="24"/>
        </w:rPr>
        <w:t>.</w:t>
      </w:r>
    </w:p>
    <w:p w:rsidR="00807EEC" w:rsidRPr="005B0A67" w:rsidRDefault="00807EEC" w:rsidP="002576D2">
      <w:pPr>
        <w:keepNext/>
        <w:ind w:left="720" w:hanging="720"/>
        <w:outlineLvl w:val="3"/>
        <w:rPr>
          <w:rFonts w:ascii="Garamond" w:eastAsia="Times New Roman" w:hAnsi="Garamond" w:cs="Times New Roman"/>
          <w:color w:val="000000"/>
          <w:sz w:val="24"/>
          <w:szCs w:val="24"/>
          <w:lang w:eastAsia="en-US"/>
        </w:rPr>
      </w:pPr>
      <w:r w:rsidRPr="005B0A67">
        <w:rPr>
          <w:rFonts w:ascii="Garamond" w:hAnsi="Garamond"/>
          <w:sz w:val="24"/>
          <w:szCs w:val="24"/>
        </w:rPr>
        <w:t xml:space="preserve">Chase-Dunn, Christopher and Daniel </w:t>
      </w:r>
      <w:proofErr w:type="spellStart"/>
      <w:r w:rsidRPr="005B0A67">
        <w:rPr>
          <w:rFonts w:ascii="Garamond" w:hAnsi="Garamond"/>
          <w:sz w:val="24"/>
          <w:szCs w:val="24"/>
        </w:rPr>
        <w:t>Pasciuti</w:t>
      </w:r>
      <w:proofErr w:type="spellEnd"/>
      <w:r w:rsidRPr="005B0A67">
        <w:rPr>
          <w:rFonts w:ascii="Garamond" w:hAnsi="Garamond"/>
          <w:sz w:val="24"/>
          <w:szCs w:val="24"/>
        </w:rPr>
        <w:t xml:space="preserve"> 2004. “Review of George </w:t>
      </w:r>
      <w:proofErr w:type="spellStart"/>
      <w:r w:rsidRPr="005B0A67">
        <w:rPr>
          <w:rFonts w:ascii="Garamond" w:hAnsi="Garamond"/>
          <w:sz w:val="24"/>
          <w:szCs w:val="24"/>
        </w:rPr>
        <w:t>Modelski’s</w:t>
      </w:r>
      <w:proofErr w:type="spellEnd"/>
      <w:r w:rsidRPr="005B0A67">
        <w:rPr>
          <w:rFonts w:ascii="Garamond" w:hAnsi="Garamond"/>
          <w:sz w:val="24"/>
          <w:szCs w:val="24"/>
        </w:rPr>
        <w:t xml:space="preserve">   (2003) World Cities, -3000 to 2000,” Washington, DC: FAROS 2000. </w:t>
      </w:r>
      <w:hyperlink r:id="rId28" w:history="1">
        <w:r w:rsidRPr="005B0A67">
          <w:rPr>
            <w:rStyle w:val="Hyperlink"/>
            <w:rFonts w:ascii="Garamond" w:hAnsi="Garamond"/>
            <w:sz w:val="24"/>
            <w:szCs w:val="24"/>
          </w:rPr>
          <w:t>http://www.irows.ucr.edu/cd/reviews/modrev.htm</w:t>
        </w:r>
      </w:hyperlink>
    </w:p>
    <w:p w:rsidR="004263DA" w:rsidRPr="005B0A67" w:rsidRDefault="004263DA" w:rsidP="00696473">
      <w:pPr>
        <w:ind w:left="720" w:hanging="720"/>
        <w:rPr>
          <w:rFonts w:ascii="Garamond" w:eastAsia="Times New Roman" w:hAnsi="Garamond" w:cs="Times New Roman"/>
          <w:color w:val="215868"/>
          <w:sz w:val="24"/>
          <w:szCs w:val="24"/>
          <w:lang w:eastAsia="en-US"/>
        </w:rPr>
      </w:pPr>
      <w:r w:rsidRPr="005B0A67">
        <w:rPr>
          <w:rFonts w:ascii="Garamond" w:eastAsia="Times New Roman" w:hAnsi="Garamond" w:cs="Times New Roman"/>
          <w:color w:val="000000"/>
          <w:sz w:val="24"/>
          <w:szCs w:val="24"/>
          <w:lang w:val="nl-NL" w:eastAsia="en-US"/>
        </w:rPr>
        <w:t>Chase-Dunn,C.  </w:t>
      </w:r>
      <w:r w:rsidRPr="005B0A67">
        <w:rPr>
          <w:rFonts w:ascii="Garamond" w:eastAsia="Times New Roman" w:hAnsi="Garamond" w:cs="Times New Roman"/>
          <w:color w:val="000000"/>
          <w:sz w:val="24"/>
          <w:szCs w:val="24"/>
          <w:lang w:eastAsia="en-US"/>
        </w:rPr>
        <w:t>David Wilkinson, E.N. Anderson, Hiroko Inoue and Robert </w:t>
      </w:r>
      <w:proofErr w:type="spellStart"/>
      <w:r w:rsidRPr="005B0A67">
        <w:rPr>
          <w:rFonts w:ascii="Garamond" w:eastAsia="Times New Roman" w:hAnsi="Garamond" w:cs="Times New Roman"/>
          <w:color w:val="000000"/>
          <w:sz w:val="24"/>
          <w:szCs w:val="24"/>
          <w:lang w:eastAsia="en-US"/>
        </w:rPr>
        <w:t>Denemark</w:t>
      </w:r>
      <w:proofErr w:type="spellEnd"/>
      <w:r w:rsidRPr="005B0A67">
        <w:rPr>
          <w:rFonts w:ascii="Garamond" w:eastAsia="Times New Roman" w:hAnsi="Garamond" w:cs="Times New Roman"/>
          <w:color w:val="000000"/>
          <w:sz w:val="24"/>
          <w:szCs w:val="24"/>
          <w:lang w:eastAsia="en-US"/>
        </w:rPr>
        <w:t> </w:t>
      </w:r>
      <w:hyperlink r:id="rId29" w:history="1">
        <w:r w:rsidRPr="005B0A67">
          <w:rPr>
            <w:rFonts w:ascii="Garamond" w:eastAsia="Times New Roman" w:hAnsi="Garamond" w:cs="Times New Roman"/>
            <w:color w:val="800080"/>
            <w:sz w:val="24"/>
            <w:szCs w:val="24"/>
            <w:u w:val="single"/>
            <w:lang w:eastAsia="en-US"/>
          </w:rPr>
          <w:t>Time Mapping Globalization since the Bronze Age</w:t>
        </w:r>
      </w:hyperlink>
      <w:r w:rsidRPr="005B0A67">
        <w:rPr>
          <w:rFonts w:ascii="Garamond" w:eastAsia="Times New Roman" w:hAnsi="Garamond" w:cs="Times New Roman"/>
          <w:color w:val="215868"/>
          <w:sz w:val="24"/>
          <w:szCs w:val="24"/>
          <w:lang w:eastAsia="en-US"/>
        </w:rPr>
        <w:t> IROWS Working Paper # 100.</w:t>
      </w:r>
    </w:p>
    <w:p w:rsidR="00127F02" w:rsidRPr="005B0A67" w:rsidRDefault="00127F02" w:rsidP="00127F02">
      <w:pPr>
        <w:rPr>
          <w:rFonts w:ascii="Garamond" w:hAnsi="Garamond"/>
          <w:sz w:val="24"/>
          <w:szCs w:val="24"/>
        </w:rPr>
      </w:pPr>
      <w:r w:rsidRPr="005B0A67">
        <w:rPr>
          <w:rFonts w:ascii="Garamond" w:hAnsi="Garamond" w:cs="Garamond"/>
          <w:sz w:val="24"/>
          <w:szCs w:val="24"/>
        </w:rPr>
        <w:t>Chase-Dunn, C. Hiroko Inoue, Teresa Neal, and Evan Heimlich “</w:t>
      </w:r>
      <w:r w:rsidRPr="005B0A67">
        <w:rPr>
          <w:rFonts w:ascii="Garamond" w:hAnsi="Garamond"/>
          <w:sz w:val="24"/>
          <w:szCs w:val="24"/>
        </w:rPr>
        <w:t xml:space="preserve">The Development of World-Systems”  </w:t>
      </w:r>
    </w:p>
    <w:p w:rsidR="00127F02" w:rsidRPr="005B0A67" w:rsidRDefault="00127F02" w:rsidP="00127F02">
      <w:pPr>
        <w:rPr>
          <w:rFonts w:ascii="Garamond" w:hAnsi="Garamond"/>
          <w:sz w:val="24"/>
          <w:szCs w:val="24"/>
        </w:rPr>
      </w:pPr>
      <w:r w:rsidRPr="005B0A67">
        <w:rPr>
          <w:rFonts w:ascii="Garamond" w:hAnsi="Garamond"/>
          <w:sz w:val="24"/>
          <w:szCs w:val="24"/>
        </w:rPr>
        <w:tab/>
      </w:r>
      <w:r w:rsidRPr="005B0A67">
        <w:rPr>
          <w:rFonts w:ascii="Garamond" w:hAnsi="Garamond"/>
          <w:i/>
          <w:sz w:val="24"/>
          <w:szCs w:val="24"/>
        </w:rPr>
        <w:t>Sociology of Development</w:t>
      </w:r>
      <w:r w:rsidRPr="005B0A67">
        <w:rPr>
          <w:rFonts w:ascii="Garamond" w:hAnsi="Garamond"/>
          <w:sz w:val="24"/>
          <w:szCs w:val="24"/>
        </w:rPr>
        <w:t xml:space="preserve"> 1,1: xx-xx,</w:t>
      </w:r>
    </w:p>
    <w:p w:rsidR="005C3BC3" w:rsidRPr="005B0A67" w:rsidRDefault="007B2B65" w:rsidP="00E14391">
      <w:pPr>
        <w:rPr>
          <w:rFonts w:ascii="Garamond" w:eastAsia="Times New Roman" w:hAnsi="Garamond" w:cs="Times New Roman"/>
          <w:bCs/>
          <w:sz w:val="24"/>
          <w:szCs w:val="24"/>
          <w:lang w:eastAsia="en-US"/>
        </w:rPr>
      </w:pPr>
      <w:r w:rsidRPr="005B0A67">
        <w:rPr>
          <w:rFonts w:ascii="Garamond" w:hAnsi="Garamond"/>
          <w:sz w:val="24"/>
          <w:szCs w:val="24"/>
        </w:rPr>
        <w:t xml:space="preserve">Chase-Dunn, C. and Marilyn </w:t>
      </w:r>
      <w:proofErr w:type="spellStart"/>
      <w:r w:rsidRPr="005B0A67">
        <w:rPr>
          <w:rFonts w:ascii="Garamond" w:hAnsi="Garamond"/>
          <w:sz w:val="24"/>
          <w:szCs w:val="24"/>
        </w:rPr>
        <w:t>Grell</w:t>
      </w:r>
      <w:proofErr w:type="spellEnd"/>
      <w:r w:rsidRPr="005B0A67">
        <w:rPr>
          <w:rFonts w:ascii="Garamond" w:hAnsi="Garamond"/>
          <w:sz w:val="24"/>
          <w:szCs w:val="24"/>
        </w:rPr>
        <w:t>-Brisk 2016 “</w:t>
      </w:r>
      <w:r w:rsidRPr="005B0A67">
        <w:rPr>
          <w:rFonts w:ascii="Garamond" w:eastAsia="Times New Roman" w:hAnsi="Garamond" w:cs="Times New Roman"/>
          <w:bCs/>
          <w:sz w:val="24"/>
          <w:szCs w:val="24"/>
          <w:lang w:eastAsia="en-US"/>
        </w:rPr>
        <w:t>Uneven and Combined Development</w:t>
      </w:r>
      <w:r w:rsidR="00E14391" w:rsidRPr="005B0A67">
        <w:rPr>
          <w:rFonts w:ascii="Garamond" w:eastAsia="Times New Roman" w:hAnsi="Garamond" w:cs="Times New Roman"/>
          <w:bCs/>
          <w:sz w:val="24"/>
          <w:szCs w:val="24"/>
          <w:lang w:eastAsia="en-US"/>
        </w:rPr>
        <w:t xml:space="preserve"> </w:t>
      </w:r>
      <w:r w:rsidRPr="005B0A67">
        <w:rPr>
          <w:rFonts w:ascii="Garamond" w:eastAsia="Times New Roman" w:hAnsi="Garamond" w:cs="Times New Roman"/>
          <w:bCs/>
          <w:sz w:val="24"/>
          <w:szCs w:val="24"/>
          <w:lang w:eastAsia="en-US"/>
        </w:rPr>
        <w:t xml:space="preserve">in the Sociocultural </w:t>
      </w:r>
    </w:p>
    <w:p w:rsidR="005C3BC3" w:rsidRPr="005B0A67" w:rsidRDefault="005C3BC3" w:rsidP="00E14391">
      <w:pPr>
        <w:rPr>
          <w:rFonts w:ascii="Garamond" w:hAnsi="Garamond"/>
          <w:i/>
          <w:sz w:val="24"/>
          <w:szCs w:val="24"/>
        </w:rPr>
      </w:pPr>
      <w:r w:rsidRPr="005B0A67">
        <w:rPr>
          <w:rFonts w:ascii="Garamond" w:eastAsia="Times New Roman" w:hAnsi="Garamond" w:cs="Times New Roman"/>
          <w:bCs/>
          <w:sz w:val="24"/>
          <w:szCs w:val="24"/>
          <w:lang w:eastAsia="en-US"/>
        </w:rPr>
        <w:tab/>
      </w:r>
      <w:r w:rsidR="007B2B65" w:rsidRPr="005B0A67">
        <w:rPr>
          <w:rFonts w:ascii="Garamond" w:eastAsia="Times New Roman" w:hAnsi="Garamond" w:cs="Times New Roman"/>
          <w:bCs/>
          <w:sz w:val="24"/>
          <w:szCs w:val="24"/>
          <w:lang w:eastAsia="en-US"/>
        </w:rPr>
        <w:t>Evolution of World-Systems</w:t>
      </w:r>
      <w:r w:rsidR="00C42D27" w:rsidRPr="005B0A67">
        <w:rPr>
          <w:rFonts w:ascii="Garamond" w:eastAsia="Times New Roman" w:hAnsi="Garamond" w:cs="Times New Roman"/>
          <w:bCs/>
          <w:sz w:val="24"/>
          <w:szCs w:val="24"/>
          <w:lang w:eastAsia="en-US"/>
        </w:rPr>
        <w:t xml:space="preserve">” </w:t>
      </w:r>
      <w:r w:rsidR="00F254DD" w:rsidRPr="005B0A67">
        <w:rPr>
          <w:rFonts w:ascii="Garamond" w:eastAsia="Times New Roman" w:hAnsi="Garamond" w:cs="Times New Roman"/>
          <w:bCs/>
          <w:sz w:val="24"/>
          <w:szCs w:val="24"/>
          <w:lang w:eastAsia="en-US"/>
        </w:rPr>
        <w:t xml:space="preserve">Pp. 205-218 </w:t>
      </w:r>
      <w:r w:rsidR="00E14391" w:rsidRPr="005B0A67">
        <w:rPr>
          <w:rFonts w:ascii="Garamond" w:eastAsia="Times New Roman" w:hAnsi="Garamond" w:cs="Times New Roman"/>
          <w:bCs/>
          <w:sz w:val="24"/>
          <w:szCs w:val="24"/>
          <w:lang w:eastAsia="en-US"/>
        </w:rPr>
        <w:t xml:space="preserve"> in </w:t>
      </w:r>
      <w:r w:rsidR="00E14391" w:rsidRPr="005B0A67">
        <w:rPr>
          <w:rFonts w:ascii="Garamond" w:hAnsi="Garamond"/>
          <w:sz w:val="24"/>
          <w:szCs w:val="24"/>
        </w:rPr>
        <w:t xml:space="preserve">Alexander </w:t>
      </w:r>
      <w:proofErr w:type="spellStart"/>
      <w:r w:rsidR="00E14391" w:rsidRPr="005B0A67">
        <w:rPr>
          <w:rFonts w:ascii="Garamond" w:hAnsi="Garamond"/>
          <w:sz w:val="24"/>
          <w:szCs w:val="24"/>
        </w:rPr>
        <w:t>Anievas</w:t>
      </w:r>
      <w:proofErr w:type="spellEnd"/>
      <w:r w:rsidR="00E14391" w:rsidRPr="005B0A67">
        <w:rPr>
          <w:rFonts w:ascii="Garamond" w:hAnsi="Garamond"/>
          <w:sz w:val="24"/>
          <w:szCs w:val="24"/>
        </w:rPr>
        <w:t xml:space="preserve"> and Kamran </w:t>
      </w:r>
      <w:proofErr w:type="spellStart"/>
      <w:r w:rsidR="00E14391" w:rsidRPr="005B0A67">
        <w:rPr>
          <w:rFonts w:ascii="Garamond" w:hAnsi="Garamond"/>
          <w:sz w:val="24"/>
          <w:szCs w:val="24"/>
        </w:rPr>
        <w:t>Matin</w:t>
      </w:r>
      <w:proofErr w:type="spellEnd"/>
      <w:r w:rsidR="00E14391" w:rsidRPr="005B0A67">
        <w:rPr>
          <w:rFonts w:ascii="Garamond" w:hAnsi="Garamond"/>
          <w:sz w:val="24"/>
          <w:szCs w:val="24"/>
        </w:rPr>
        <w:t xml:space="preserve"> (eds.) </w:t>
      </w:r>
      <w:r w:rsidR="00E14391" w:rsidRPr="005B0A67">
        <w:rPr>
          <w:rFonts w:ascii="Garamond" w:hAnsi="Garamond"/>
          <w:i/>
          <w:sz w:val="24"/>
          <w:szCs w:val="24"/>
        </w:rPr>
        <w:t xml:space="preserve">Historical </w:t>
      </w:r>
    </w:p>
    <w:p w:rsidR="005C3BC3" w:rsidRPr="005B0A67" w:rsidRDefault="005C3BC3" w:rsidP="00E14391">
      <w:pPr>
        <w:rPr>
          <w:rStyle w:val="Emphasis"/>
          <w:rFonts w:ascii="Garamond" w:hAnsi="Garamond"/>
          <w:i w:val="0"/>
          <w:sz w:val="24"/>
          <w:szCs w:val="24"/>
        </w:rPr>
      </w:pPr>
      <w:r w:rsidRPr="005B0A67">
        <w:rPr>
          <w:rFonts w:ascii="Garamond" w:hAnsi="Garamond"/>
          <w:i/>
          <w:sz w:val="24"/>
          <w:szCs w:val="24"/>
        </w:rPr>
        <w:tab/>
      </w:r>
      <w:r w:rsidR="00E14391" w:rsidRPr="005B0A67">
        <w:rPr>
          <w:rFonts w:ascii="Garamond" w:hAnsi="Garamond"/>
          <w:i/>
          <w:sz w:val="24"/>
          <w:szCs w:val="24"/>
        </w:rPr>
        <w:t xml:space="preserve">Sociology and World History: Uneven and Combined Development over the </w:t>
      </w:r>
      <w:r w:rsidR="00E14391" w:rsidRPr="005B0A67">
        <w:rPr>
          <w:rStyle w:val="Emphasis"/>
          <w:rFonts w:ascii="Garamond" w:hAnsi="Garamond"/>
          <w:sz w:val="24"/>
          <w:szCs w:val="24"/>
        </w:rPr>
        <w:t xml:space="preserve">Longue </w:t>
      </w:r>
      <w:proofErr w:type="spellStart"/>
      <w:r w:rsidR="00E14391" w:rsidRPr="005B0A67">
        <w:rPr>
          <w:rStyle w:val="Emphasis"/>
          <w:rFonts w:ascii="Garamond" w:hAnsi="Garamond"/>
          <w:sz w:val="24"/>
          <w:szCs w:val="24"/>
        </w:rPr>
        <w:t>Durée</w:t>
      </w:r>
      <w:proofErr w:type="spellEnd"/>
      <w:r w:rsidR="000A4F5A" w:rsidRPr="005B0A67">
        <w:rPr>
          <w:rStyle w:val="Emphasis"/>
          <w:rFonts w:ascii="Garamond" w:hAnsi="Garamond"/>
          <w:sz w:val="24"/>
          <w:szCs w:val="24"/>
        </w:rPr>
        <w:t xml:space="preserve"> </w:t>
      </w:r>
      <w:r w:rsidR="000A4F5A" w:rsidRPr="005B0A67">
        <w:rPr>
          <w:rStyle w:val="Emphasis"/>
          <w:rFonts w:ascii="Garamond" w:hAnsi="Garamond"/>
          <w:i w:val="0"/>
          <w:sz w:val="24"/>
          <w:szCs w:val="24"/>
        </w:rPr>
        <w:t xml:space="preserve">New York: Rowman </w:t>
      </w:r>
    </w:p>
    <w:p w:rsidR="00E14391" w:rsidRPr="005B0A67" w:rsidRDefault="005C3BC3" w:rsidP="00E14391">
      <w:pPr>
        <w:rPr>
          <w:rFonts w:ascii="Garamond" w:hAnsi="Garamond"/>
          <w:b/>
          <w:sz w:val="24"/>
          <w:szCs w:val="24"/>
        </w:rPr>
      </w:pPr>
      <w:r w:rsidRPr="005B0A67">
        <w:rPr>
          <w:rStyle w:val="Emphasis"/>
          <w:rFonts w:ascii="Garamond" w:hAnsi="Garamond"/>
          <w:i w:val="0"/>
          <w:sz w:val="24"/>
          <w:szCs w:val="24"/>
        </w:rPr>
        <w:lastRenderedPageBreak/>
        <w:tab/>
      </w:r>
      <w:r w:rsidR="000A4F5A" w:rsidRPr="005B0A67">
        <w:rPr>
          <w:rStyle w:val="Emphasis"/>
          <w:rFonts w:ascii="Garamond" w:hAnsi="Garamond"/>
          <w:i w:val="0"/>
          <w:sz w:val="24"/>
          <w:szCs w:val="24"/>
        </w:rPr>
        <w:t>and Littlefield.</w:t>
      </w:r>
    </w:p>
    <w:p w:rsidR="002576D2" w:rsidRPr="005B0A67" w:rsidRDefault="002576D2" w:rsidP="002576D2">
      <w:pPr>
        <w:rPr>
          <w:rFonts w:ascii="Garamond" w:eastAsia="Times New Roman" w:hAnsi="Garamond" w:cs="Tahoma"/>
          <w:sz w:val="24"/>
          <w:szCs w:val="24"/>
        </w:rPr>
      </w:pPr>
      <w:r w:rsidRPr="005B0A67">
        <w:rPr>
          <w:rFonts w:ascii="Garamond" w:hAnsi="Garamond"/>
          <w:sz w:val="24"/>
          <w:szCs w:val="24"/>
        </w:rPr>
        <w:t>Chase-Dunn, C and Hiroki Inoue 2017 “</w:t>
      </w:r>
      <w:r w:rsidRPr="005B0A67">
        <w:rPr>
          <w:rFonts w:ascii="Garamond" w:eastAsia="Times New Roman" w:hAnsi="Garamond" w:cs="Tahoma"/>
          <w:sz w:val="24"/>
          <w:szCs w:val="24"/>
        </w:rPr>
        <w:t xml:space="preserve">Spirals of sociocultural evolution within polities and in interpolity </w:t>
      </w:r>
    </w:p>
    <w:p w:rsidR="002576D2" w:rsidRPr="005B0A67" w:rsidRDefault="002576D2" w:rsidP="002576D2">
      <w:pPr>
        <w:rPr>
          <w:rFonts w:ascii="Garamond" w:hAnsi="Garamond"/>
          <w:sz w:val="24"/>
          <w:szCs w:val="24"/>
          <w:shd w:val="clear" w:color="auto" w:fill="F7F7F7"/>
        </w:rPr>
      </w:pPr>
      <w:r w:rsidRPr="005B0A67">
        <w:rPr>
          <w:rFonts w:ascii="Garamond" w:eastAsia="Times New Roman" w:hAnsi="Garamond" w:cs="Tahoma"/>
          <w:sz w:val="24"/>
          <w:szCs w:val="24"/>
        </w:rPr>
        <w:tab/>
        <w:t xml:space="preserve">systems” To be presented </w:t>
      </w:r>
      <w:r w:rsidRPr="005B0A67">
        <w:rPr>
          <w:rFonts w:ascii="Garamond" w:hAnsi="Garamond"/>
          <w:sz w:val="24"/>
          <w:szCs w:val="24"/>
          <w:shd w:val="clear" w:color="auto" w:fill="F7F7F7"/>
        </w:rPr>
        <w:t xml:space="preserve">at the annual meeting of the International Studies Association, Baltimore, </w:t>
      </w:r>
    </w:p>
    <w:p w:rsidR="002576D2" w:rsidRDefault="002576D2" w:rsidP="002576D2">
      <w:pPr>
        <w:rPr>
          <w:rFonts w:ascii="Garamond" w:hAnsi="Garamond"/>
          <w:sz w:val="24"/>
          <w:szCs w:val="24"/>
          <w:shd w:val="clear" w:color="auto" w:fill="F7F7F7"/>
        </w:rPr>
      </w:pPr>
      <w:r w:rsidRPr="005B0A67">
        <w:rPr>
          <w:rFonts w:ascii="Garamond" w:hAnsi="Garamond"/>
          <w:sz w:val="24"/>
          <w:szCs w:val="24"/>
          <w:shd w:val="clear" w:color="auto" w:fill="F7F7F7"/>
        </w:rPr>
        <w:tab/>
        <w:t xml:space="preserve">MD, February 22-25. 2017 </w:t>
      </w:r>
    </w:p>
    <w:p w:rsidR="00C05D70" w:rsidRPr="00C05D70" w:rsidRDefault="00C05D70" w:rsidP="00C05D70">
      <w:pPr>
        <w:rPr>
          <w:rFonts w:ascii="Garamond" w:eastAsia="Times New Roman" w:hAnsi="Garamond" w:cs="Times New Roman"/>
          <w:sz w:val="24"/>
          <w:szCs w:val="24"/>
          <w:lang w:eastAsia="en-US"/>
        </w:rPr>
      </w:pPr>
      <w:r>
        <w:rPr>
          <w:rFonts w:ascii="Garamond" w:hAnsi="Garamond"/>
          <w:sz w:val="24"/>
          <w:szCs w:val="24"/>
          <w:shd w:val="clear" w:color="auto" w:fill="F7F7F7"/>
        </w:rPr>
        <w:t>Chase-Dunn, C., Hiroko Inoue and E.N. Anderson 2017 “</w:t>
      </w:r>
      <w:r w:rsidRPr="00C05D70">
        <w:rPr>
          <w:rFonts w:ascii="Garamond" w:eastAsia="Times New Roman" w:hAnsi="Garamond" w:cs="Times New Roman"/>
          <w:color w:val="953735"/>
          <w:sz w:val="24"/>
          <w:szCs w:val="24"/>
          <w:lang w:eastAsia="en-US"/>
        </w:rPr>
        <w:t>The Growth of  Hangzhou and</w:t>
      </w:r>
    </w:p>
    <w:p w:rsidR="00C05D70" w:rsidRPr="00C05D70" w:rsidRDefault="00C05D70" w:rsidP="00C05D70">
      <w:pPr>
        <w:rPr>
          <w:rFonts w:ascii="Garamond" w:eastAsia="Times New Roman" w:hAnsi="Garamond" w:cs="Times New Roman"/>
          <w:sz w:val="24"/>
          <w:szCs w:val="24"/>
          <w:lang w:eastAsia="en-US"/>
        </w:rPr>
      </w:pPr>
      <w:r w:rsidRPr="00C05D70">
        <w:rPr>
          <w:rFonts w:ascii="Garamond" w:eastAsia="Times New Roman" w:hAnsi="Garamond" w:cs="Times New Roman"/>
          <w:color w:val="953735"/>
          <w:sz w:val="24"/>
          <w:szCs w:val="24"/>
          <w:lang w:eastAsia="en-US"/>
        </w:rPr>
        <w:t>the Geopolitical Context in East Asia</w:t>
      </w:r>
      <w:r>
        <w:rPr>
          <w:rFonts w:ascii="Garamond" w:eastAsia="Times New Roman" w:hAnsi="Garamond" w:cs="Times New Roman"/>
          <w:color w:val="953735"/>
          <w:sz w:val="24"/>
          <w:szCs w:val="24"/>
          <w:lang w:eastAsia="en-US"/>
        </w:rPr>
        <w:t xml:space="preserve">” IROWS Working Paper # 111. </w:t>
      </w:r>
      <w:hyperlink r:id="rId30" w:history="1">
        <w:r w:rsidRPr="00C05D70">
          <w:rPr>
            <w:rStyle w:val="Hyperlink"/>
            <w:rFonts w:ascii="Garamond" w:eastAsia="Times New Roman" w:hAnsi="Garamond" w:cs="Times New Roman"/>
            <w:sz w:val="24"/>
            <w:szCs w:val="24"/>
            <w:lang w:eastAsia="en-US"/>
          </w:rPr>
          <w:t>http://irows.ucr.edu/papers/irows111/irows111.htm</w:t>
        </w:r>
      </w:hyperlink>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Chew, Sing C. 2001 </w:t>
      </w:r>
      <w:r w:rsidRPr="005B0A67">
        <w:rPr>
          <w:rFonts w:ascii="Garamond" w:eastAsia="Times New Roman" w:hAnsi="Garamond" w:cs="Times New Roman"/>
          <w:i/>
          <w:iCs/>
          <w:color w:val="000000"/>
          <w:sz w:val="24"/>
          <w:szCs w:val="24"/>
          <w:lang w:eastAsia="en-US"/>
        </w:rPr>
        <w:t xml:space="preserve">World ecological </w:t>
      </w:r>
      <w:r w:rsidR="002C2C02" w:rsidRPr="005B0A67">
        <w:rPr>
          <w:rFonts w:ascii="Garamond" w:eastAsia="Times New Roman" w:hAnsi="Garamond" w:cs="Times New Roman"/>
          <w:i/>
          <w:iCs/>
          <w:color w:val="000000"/>
          <w:sz w:val="24"/>
          <w:szCs w:val="24"/>
          <w:lang w:eastAsia="en-US"/>
        </w:rPr>
        <w:t>degradation:</w:t>
      </w:r>
      <w:r w:rsidRPr="005B0A67">
        <w:rPr>
          <w:rFonts w:ascii="Garamond" w:eastAsia="Times New Roman" w:hAnsi="Garamond" w:cs="Times New Roman"/>
          <w:i/>
          <w:iCs/>
          <w:color w:val="000000"/>
          <w:sz w:val="24"/>
          <w:szCs w:val="24"/>
          <w:lang w:eastAsia="en-US"/>
        </w:rPr>
        <w:t xml:space="preserve"> accumulation, urbanization, and deforestation, 3000</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i/>
          <w:iCs/>
          <w:color w:val="000000"/>
          <w:sz w:val="24"/>
          <w:szCs w:val="24"/>
          <w:lang w:eastAsia="en-US"/>
        </w:rPr>
        <w:t>B.C.-A.D</w:t>
      </w:r>
      <w:r w:rsidRPr="005B0A67">
        <w:rPr>
          <w:rFonts w:ascii="Garamond" w:eastAsia="Times New Roman" w:hAnsi="Garamond" w:cs="Times New Roman"/>
          <w:color w:val="000000"/>
          <w:sz w:val="24"/>
          <w:szCs w:val="24"/>
          <w:lang w:eastAsia="en-US"/>
        </w:rPr>
        <w:t>.  Walnut Creek, CA: Altamira Press</w:t>
      </w:r>
    </w:p>
    <w:p w:rsidR="003B03C2" w:rsidRPr="005B0A67" w:rsidRDefault="004D0421" w:rsidP="00635B6C">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2007 </w:t>
      </w:r>
      <w:r w:rsidR="004263DA" w:rsidRPr="005B0A67">
        <w:rPr>
          <w:rFonts w:ascii="Garamond" w:eastAsia="Times New Roman" w:hAnsi="Garamond" w:cs="Times New Roman"/>
          <w:i/>
          <w:iCs/>
          <w:color w:val="000000"/>
          <w:sz w:val="24"/>
          <w:szCs w:val="24"/>
          <w:lang w:eastAsia="en-US"/>
        </w:rPr>
        <w:t xml:space="preserve">The Recurring Dark </w:t>
      </w:r>
      <w:r w:rsidR="002C2C02" w:rsidRPr="005B0A67">
        <w:rPr>
          <w:rFonts w:ascii="Garamond" w:eastAsia="Times New Roman" w:hAnsi="Garamond" w:cs="Times New Roman"/>
          <w:i/>
          <w:iCs/>
          <w:color w:val="000000"/>
          <w:sz w:val="24"/>
          <w:szCs w:val="24"/>
          <w:lang w:eastAsia="en-US"/>
        </w:rPr>
        <w:t>Ages:</w:t>
      </w:r>
      <w:r w:rsidR="004263DA" w:rsidRPr="005B0A67">
        <w:rPr>
          <w:rFonts w:ascii="Garamond" w:eastAsia="Times New Roman" w:hAnsi="Garamond" w:cs="Times New Roman"/>
          <w:i/>
          <w:iCs/>
          <w:color w:val="000000"/>
          <w:sz w:val="24"/>
          <w:szCs w:val="24"/>
          <w:lang w:eastAsia="en-US"/>
        </w:rPr>
        <w:t xml:space="preserve"> ecological stress, climate changes, and system</w:t>
      </w:r>
      <w:r w:rsidR="00784171"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i/>
          <w:iCs/>
          <w:color w:val="000000"/>
          <w:sz w:val="24"/>
          <w:szCs w:val="24"/>
          <w:lang w:eastAsia="en-US"/>
        </w:rPr>
        <w:t>transformation</w:t>
      </w:r>
      <w:r w:rsidR="004263DA" w:rsidRPr="005B0A67">
        <w:rPr>
          <w:rFonts w:ascii="Garamond" w:eastAsia="Times New Roman" w:hAnsi="Garamond" w:cs="Times New Roman"/>
          <w:color w:val="000000"/>
          <w:sz w:val="24"/>
          <w:szCs w:val="24"/>
          <w:lang w:eastAsia="en-US"/>
        </w:rPr>
        <w:t> Walnut Creek, CA: Altamira Press</w:t>
      </w:r>
      <w:r w:rsidR="00784171" w:rsidRPr="005B0A67">
        <w:rPr>
          <w:rFonts w:ascii="Garamond" w:eastAsia="Times New Roman" w:hAnsi="Garamond" w:cs="Times New Roman"/>
          <w:color w:val="000000"/>
          <w:sz w:val="24"/>
          <w:szCs w:val="24"/>
          <w:lang w:eastAsia="en-US"/>
        </w:rPr>
        <w:t>.</w:t>
      </w:r>
    </w:p>
    <w:p w:rsidR="00530F5B" w:rsidRDefault="00530F5B" w:rsidP="00530F5B">
      <w:pPr>
        <w:ind w:left="720" w:hanging="720"/>
        <w:rPr>
          <w:rFonts w:ascii="Garamond" w:eastAsia="Times New Roman" w:hAnsi="Garamond" w:cs="Courier New"/>
          <w:color w:val="000000"/>
          <w:sz w:val="24"/>
          <w:szCs w:val="24"/>
          <w:lang w:eastAsia="en-US"/>
        </w:rPr>
      </w:pPr>
      <w:r w:rsidRPr="005B0A67">
        <w:rPr>
          <w:rFonts w:ascii="Garamond" w:eastAsia="Times New Roman" w:hAnsi="Garamond" w:cs="Courier New"/>
          <w:color w:val="000000"/>
          <w:sz w:val="24"/>
          <w:szCs w:val="24"/>
          <w:lang w:eastAsia="en-US"/>
        </w:rPr>
        <w:t xml:space="preserve">Davis, Kingsley 1969. </w:t>
      </w:r>
      <w:r w:rsidRPr="005B0A67">
        <w:rPr>
          <w:rFonts w:ascii="Garamond" w:eastAsia="Times New Roman" w:hAnsi="Garamond" w:cs="Courier New"/>
          <w:i/>
          <w:color w:val="000000"/>
          <w:sz w:val="24"/>
          <w:szCs w:val="24"/>
          <w:lang w:eastAsia="en-US"/>
        </w:rPr>
        <w:t>World Urbanization 1950-1970</w:t>
      </w:r>
      <w:r w:rsidRPr="005B0A67">
        <w:rPr>
          <w:rFonts w:ascii="Garamond" w:eastAsia="Times New Roman" w:hAnsi="Garamond" w:cs="Courier New"/>
          <w:color w:val="000000"/>
          <w:sz w:val="24"/>
          <w:szCs w:val="24"/>
          <w:lang w:eastAsia="en-US"/>
        </w:rPr>
        <w:t>, Volume 1. Institute of International Studies, University of California, Berkeley.</w:t>
      </w:r>
    </w:p>
    <w:p w:rsidR="00AE5A18" w:rsidRPr="00AE5A18" w:rsidRDefault="00AE5A18" w:rsidP="00AE5A18">
      <w:pPr>
        <w:ind w:left="720" w:hanging="720"/>
        <w:rPr>
          <w:rFonts w:ascii="Garamond" w:eastAsia="Times New Roman" w:hAnsi="Garamond" w:cs="Courier New"/>
          <w:color w:val="000000"/>
          <w:sz w:val="24"/>
          <w:szCs w:val="24"/>
          <w:lang w:eastAsia="en-US"/>
        </w:rPr>
      </w:pPr>
      <w:proofErr w:type="spellStart"/>
      <w:r w:rsidRPr="00AE5A18">
        <w:rPr>
          <w:rFonts w:ascii="Garamond" w:eastAsia="Times New Roman" w:hAnsi="Garamond" w:cs="Courier New"/>
          <w:color w:val="000000"/>
          <w:sz w:val="24"/>
          <w:szCs w:val="24"/>
          <w:lang w:eastAsia="en-US"/>
        </w:rPr>
        <w:t>DeWinter</w:t>
      </w:r>
      <w:proofErr w:type="spellEnd"/>
      <w:r w:rsidRPr="00AE5A18">
        <w:rPr>
          <w:rFonts w:ascii="Garamond" w:eastAsia="Times New Roman" w:hAnsi="Garamond" w:cs="Courier New"/>
          <w:color w:val="000000"/>
          <w:sz w:val="24"/>
          <w:szCs w:val="24"/>
          <w:lang w:eastAsia="en-US"/>
        </w:rPr>
        <w:t xml:space="preserve">, Walter 2016 “Globalization in Nubia during the Middle Kingdom and the Second </w:t>
      </w:r>
    </w:p>
    <w:p w:rsidR="00AE5A18" w:rsidRDefault="00AE5A18" w:rsidP="00AE5A18">
      <w:pPr>
        <w:ind w:left="720" w:hanging="720"/>
        <w:rPr>
          <w:rFonts w:ascii="Garamond" w:eastAsia="Times New Roman" w:hAnsi="Garamond" w:cs="Courier New"/>
          <w:color w:val="000000"/>
          <w:sz w:val="24"/>
          <w:szCs w:val="24"/>
          <w:lang w:eastAsia="en-US"/>
        </w:rPr>
      </w:pPr>
      <w:r w:rsidRPr="00AE5A18">
        <w:rPr>
          <w:rFonts w:ascii="Garamond" w:eastAsia="Times New Roman" w:hAnsi="Garamond" w:cs="Courier New"/>
          <w:color w:val="000000"/>
          <w:sz w:val="24"/>
          <w:szCs w:val="24"/>
          <w:lang w:eastAsia="en-US"/>
        </w:rPr>
        <w:tab/>
        <w:t xml:space="preserve">Intermediate Period (2000- 1500 B.C.) </w:t>
      </w:r>
      <w:hyperlink r:id="rId31" w:history="1">
        <w:r w:rsidRPr="0003431A">
          <w:rPr>
            <w:rStyle w:val="Hyperlink"/>
            <w:rFonts w:ascii="Garamond" w:eastAsia="Times New Roman" w:hAnsi="Garamond" w:cs="Courier New"/>
            <w:sz w:val="24"/>
            <w:szCs w:val="24"/>
            <w:lang w:eastAsia="en-US"/>
          </w:rPr>
          <w:t>http://irows.ucr.edu/papers/irows99/irows99.htm</w:t>
        </w:r>
      </w:hyperlink>
    </w:p>
    <w:p w:rsidR="003B03C2" w:rsidRPr="005B0A67" w:rsidRDefault="003B03C2" w:rsidP="00635B6C">
      <w:pPr>
        <w:ind w:left="720" w:hanging="720"/>
        <w:rPr>
          <w:rFonts w:ascii="Garamond" w:eastAsia="Times New Roman" w:hAnsi="Garamond" w:cs="Times New Roman"/>
          <w:color w:val="000000"/>
          <w:sz w:val="24"/>
          <w:szCs w:val="24"/>
          <w:lang w:eastAsia="en-US"/>
        </w:rPr>
      </w:pPr>
      <w:r w:rsidRPr="005B0A67">
        <w:rPr>
          <w:rFonts w:ascii="Garamond" w:eastAsiaTheme="minorEastAsia" w:hAnsi="Garamond" w:cs="Baskerville-Italic"/>
          <w:i/>
          <w:iCs/>
          <w:sz w:val="24"/>
          <w:szCs w:val="24"/>
          <w:lang w:eastAsia="en-US"/>
        </w:rPr>
        <w:t>Economist</w:t>
      </w:r>
      <w:r w:rsidRPr="005B0A67">
        <w:rPr>
          <w:rFonts w:ascii="Garamond" w:eastAsiaTheme="minorEastAsia" w:hAnsi="Garamond" w:cs="Baskerville"/>
          <w:sz w:val="24"/>
          <w:szCs w:val="24"/>
          <w:lang w:eastAsia="en-US"/>
        </w:rPr>
        <w:t xml:space="preserve">. 2008. </w:t>
      </w:r>
      <w:r w:rsidRPr="005B0A67">
        <w:rPr>
          <w:rFonts w:ascii="Garamond" w:eastAsiaTheme="minorEastAsia" w:hAnsi="Garamond" w:cs="Baskerville-Italic"/>
          <w:i/>
          <w:iCs/>
          <w:sz w:val="24"/>
          <w:szCs w:val="24"/>
          <w:lang w:eastAsia="en-US"/>
        </w:rPr>
        <w:t xml:space="preserve">The Economist Pocket World in Figures, </w:t>
      </w:r>
      <w:r w:rsidRPr="005B0A67">
        <w:rPr>
          <w:rFonts w:ascii="Garamond" w:eastAsiaTheme="minorEastAsia" w:hAnsi="Garamond" w:cs="Baskerville-Italic"/>
          <w:iCs/>
          <w:sz w:val="24"/>
          <w:szCs w:val="24"/>
          <w:lang w:eastAsia="en-US"/>
        </w:rPr>
        <w:t>2008 Edition</w:t>
      </w:r>
      <w:r w:rsidRPr="005B0A67">
        <w:rPr>
          <w:rFonts w:ascii="Garamond" w:eastAsiaTheme="minorEastAsia" w:hAnsi="Garamond" w:cs="Baskerville"/>
          <w:sz w:val="24"/>
          <w:szCs w:val="24"/>
          <w:lang w:eastAsia="en-US"/>
        </w:rPr>
        <w:t>. London: Profile.</w:t>
      </w:r>
    </w:p>
    <w:p w:rsidR="004263DA" w:rsidRPr="005B0A67" w:rsidRDefault="004263DA" w:rsidP="00635B6C">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Ekholm</w:t>
      </w:r>
      <w:proofErr w:type="spellEnd"/>
      <w:r w:rsidRPr="005B0A67">
        <w:rPr>
          <w:rFonts w:ascii="Garamond" w:eastAsia="Times New Roman" w:hAnsi="Garamond" w:cs="Times New Roman"/>
          <w:color w:val="000000"/>
          <w:sz w:val="24"/>
          <w:szCs w:val="24"/>
          <w:lang w:eastAsia="en-US"/>
        </w:rPr>
        <w:t>, </w:t>
      </w:r>
      <w:proofErr w:type="spellStart"/>
      <w:r w:rsidRPr="005B0A67">
        <w:rPr>
          <w:rFonts w:ascii="Garamond" w:eastAsia="Times New Roman" w:hAnsi="Garamond" w:cs="Times New Roman"/>
          <w:color w:val="000000"/>
          <w:sz w:val="24"/>
          <w:szCs w:val="24"/>
          <w:lang w:eastAsia="en-US"/>
        </w:rPr>
        <w:t>Kasja</w:t>
      </w:r>
      <w:proofErr w:type="spellEnd"/>
      <w:r w:rsidRPr="005B0A67">
        <w:rPr>
          <w:rFonts w:ascii="Garamond" w:eastAsia="Times New Roman" w:hAnsi="Garamond" w:cs="Times New Roman"/>
          <w:color w:val="000000"/>
          <w:sz w:val="24"/>
          <w:szCs w:val="24"/>
          <w:lang w:eastAsia="en-US"/>
        </w:rPr>
        <w:t> and Jonathan Friedman 1982 “’Capital’ imperialism and exploitation in the</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ancient world-systems” </w:t>
      </w:r>
      <w:r w:rsidRPr="005B0A67">
        <w:rPr>
          <w:rFonts w:ascii="Garamond" w:eastAsia="Times New Roman" w:hAnsi="Garamond" w:cs="Times New Roman"/>
          <w:i/>
          <w:iCs/>
          <w:color w:val="000000"/>
          <w:sz w:val="24"/>
          <w:szCs w:val="24"/>
          <w:lang w:eastAsia="en-US"/>
        </w:rPr>
        <w:t>Review </w:t>
      </w:r>
      <w:r w:rsidRPr="005B0A67">
        <w:rPr>
          <w:rFonts w:ascii="Garamond" w:eastAsia="Times New Roman" w:hAnsi="Garamond" w:cs="Times New Roman"/>
          <w:color w:val="000000"/>
          <w:sz w:val="24"/>
          <w:szCs w:val="24"/>
          <w:lang w:eastAsia="en-US"/>
        </w:rPr>
        <w:t>6:1 (summer):  87-110.</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Elvin, Mark. 1973. </w:t>
      </w:r>
      <w:r w:rsidRPr="005B0A67">
        <w:rPr>
          <w:rFonts w:ascii="Garamond" w:eastAsia="Times New Roman" w:hAnsi="Garamond" w:cs="Times New Roman"/>
          <w:i/>
          <w:iCs/>
          <w:color w:val="000000"/>
          <w:sz w:val="24"/>
          <w:szCs w:val="24"/>
          <w:lang w:eastAsia="en-US"/>
        </w:rPr>
        <w:t>The Pattern of the Chinese Past</w:t>
      </w:r>
      <w:r w:rsidRPr="005B0A67">
        <w:rPr>
          <w:rFonts w:ascii="Garamond" w:eastAsia="Times New Roman" w:hAnsi="Garamond" w:cs="Times New Roman"/>
          <w:color w:val="000000"/>
          <w:sz w:val="24"/>
          <w:szCs w:val="24"/>
          <w:lang w:eastAsia="en-US"/>
        </w:rPr>
        <w:t>. Stanford: Stanford University 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Fitzpatrick, John. 1992. "The Middle Kingdom, the Middle Sea, and the Geographical Pivot</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of History." </w:t>
      </w:r>
      <w:r w:rsidRPr="005B0A67">
        <w:rPr>
          <w:rFonts w:ascii="Garamond" w:eastAsia="Times New Roman" w:hAnsi="Garamond" w:cs="Times New Roman"/>
          <w:i/>
          <w:iCs/>
          <w:color w:val="000000"/>
          <w:sz w:val="24"/>
          <w:szCs w:val="24"/>
          <w:lang w:eastAsia="en-US"/>
        </w:rPr>
        <w:t>Review</w:t>
      </w:r>
      <w:r w:rsidRPr="005B0A67">
        <w:rPr>
          <w:rFonts w:ascii="Garamond" w:eastAsia="Times New Roman" w:hAnsi="Garamond" w:cs="Times New Roman"/>
          <w:color w:val="000000"/>
          <w:sz w:val="24"/>
          <w:szCs w:val="24"/>
          <w:lang w:eastAsia="en-US"/>
        </w:rPr>
        <w:t> XV, 3 (Summer): 477-521</w:t>
      </w:r>
      <w:r w:rsidR="00784171" w:rsidRPr="005B0A67">
        <w:rPr>
          <w:rFonts w:ascii="Garamond" w:eastAsia="Times New Roman" w:hAnsi="Garamond" w:cs="Times New Roman"/>
          <w:color w:val="000000"/>
          <w:sz w:val="24"/>
          <w:szCs w:val="24"/>
          <w:lang w:eastAsia="en-US"/>
        </w:rPr>
        <w:t>.</w:t>
      </w:r>
    </w:p>
    <w:p w:rsidR="00E57825" w:rsidRPr="005B0A67" w:rsidRDefault="00E57825" w:rsidP="00E57825">
      <w:pPr>
        <w:ind w:left="720" w:hanging="720"/>
        <w:rPr>
          <w:rFonts w:ascii="Garamond" w:eastAsia="Times New Roman" w:hAnsi="Garamond" w:cs="Courier New"/>
          <w:color w:val="000000"/>
          <w:sz w:val="24"/>
          <w:szCs w:val="24"/>
          <w:lang w:eastAsia="en-US"/>
        </w:rPr>
      </w:pPr>
      <w:r w:rsidRPr="005B0A67">
        <w:rPr>
          <w:rFonts w:ascii="Garamond" w:eastAsia="Times New Roman" w:hAnsi="Garamond" w:cs="Courier New"/>
          <w:color w:val="000000"/>
          <w:sz w:val="24"/>
          <w:szCs w:val="24"/>
          <w:lang w:eastAsia="en-US"/>
        </w:rPr>
        <w:t xml:space="preserve">De </w:t>
      </w:r>
      <w:proofErr w:type="spellStart"/>
      <w:r w:rsidRPr="005B0A67">
        <w:rPr>
          <w:rFonts w:ascii="Garamond" w:eastAsia="Times New Roman" w:hAnsi="Garamond" w:cs="Courier New"/>
          <w:color w:val="000000"/>
          <w:sz w:val="24"/>
          <w:szCs w:val="24"/>
          <w:lang w:eastAsia="en-US"/>
        </w:rPr>
        <w:t>Vries</w:t>
      </w:r>
      <w:proofErr w:type="spellEnd"/>
      <w:r w:rsidRPr="005B0A67">
        <w:rPr>
          <w:rFonts w:ascii="Garamond" w:eastAsia="Times New Roman" w:hAnsi="Garamond" w:cs="Courier New"/>
          <w:color w:val="000000"/>
          <w:sz w:val="24"/>
          <w:szCs w:val="24"/>
          <w:lang w:eastAsia="en-US"/>
        </w:rPr>
        <w:t xml:space="preserve">, Jan 1984 </w:t>
      </w:r>
      <w:r w:rsidRPr="005B0A67">
        <w:rPr>
          <w:rFonts w:ascii="Garamond" w:eastAsia="Times New Roman" w:hAnsi="Garamond" w:cs="Courier New"/>
          <w:i/>
          <w:color w:val="000000"/>
          <w:sz w:val="24"/>
          <w:szCs w:val="24"/>
          <w:lang w:eastAsia="en-US"/>
        </w:rPr>
        <w:t>European Urbanization, 1500-1800</w:t>
      </w:r>
      <w:r w:rsidRPr="005B0A67">
        <w:rPr>
          <w:rFonts w:ascii="Garamond" w:eastAsia="Times New Roman" w:hAnsi="Garamond" w:cs="Courier New"/>
          <w:color w:val="000000"/>
          <w:sz w:val="24"/>
          <w:szCs w:val="24"/>
          <w:lang w:eastAsia="en-US"/>
        </w:rPr>
        <w:t xml:space="preserve"> Cambridge, MA: Harvard University 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Fletcher, Roland 1995 </w:t>
      </w:r>
      <w:r w:rsidRPr="005B0A67">
        <w:rPr>
          <w:rFonts w:ascii="Garamond" w:eastAsia="Times New Roman" w:hAnsi="Garamond" w:cs="Times New Roman"/>
          <w:i/>
          <w:iCs/>
          <w:color w:val="000000"/>
          <w:sz w:val="24"/>
          <w:szCs w:val="24"/>
          <w:lang w:eastAsia="en-US"/>
        </w:rPr>
        <w:t>The Limits of Settlement Growth.</w:t>
      </w:r>
      <w:r w:rsidRPr="005B0A67">
        <w:rPr>
          <w:rFonts w:ascii="Garamond" w:eastAsia="Times New Roman" w:hAnsi="Garamond" w:cs="Times New Roman"/>
          <w:color w:val="000000"/>
          <w:sz w:val="24"/>
          <w:szCs w:val="24"/>
          <w:lang w:eastAsia="en-US"/>
        </w:rPr>
        <w:t> Cambridge:  Cambridge University Press.</w:t>
      </w:r>
    </w:p>
    <w:p w:rsidR="004263DA" w:rsidRPr="005B0A67" w:rsidRDefault="004D0421" w:rsidP="00696473">
      <w:pPr>
        <w:ind w:left="720" w:hanging="720"/>
        <w:jc w:val="both"/>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______ .</w:t>
      </w:r>
      <w:r w:rsidR="004263DA" w:rsidRPr="005B0A67">
        <w:rPr>
          <w:rFonts w:ascii="Garamond" w:eastAsia="Times New Roman" w:hAnsi="Garamond" w:cs="Times New Roman"/>
          <w:color w:val="000000"/>
          <w:sz w:val="24"/>
          <w:szCs w:val="24"/>
          <w:lang w:eastAsia="en-US"/>
        </w:rPr>
        <w:t> </w:t>
      </w:r>
      <w:proofErr w:type="spellStart"/>
      <w:r w:rsidR="004263DA" w:rsidRPr="005B0A67">
        <w:rPr>
          <w:rFonts w:ascii="Garamond" w:eastAsia="Times New Roman" w:hAnsi="Garamond" w:cs="Times New Roman"/>
          <w:color w:val="000000"/>
          <w:sz w:val="24"/>
          <w:szCs w:val="24"/>
          <w:lang w:eastAsia="en-US"/>
        </w:rPr>
        <w:t>n.d.</w:t>
      </w:r>
      <w:proofErr w:type="spellEnd"/>
      <w:r w:rsidR="004263DA" w:rsidRPr="005B0A67">
        <w:rPr>
          <w:rFonts w:ascii="Garamond" w:eastAsia="Times New Roman" w:hAnsi="Garamond" w:cs="Times New Roman"/>
          <w:color w:val="000000"/>
          <w:sz w:val="24"/>
          <w:szCs w:val="24"/>
          <w:lang w:eastAsia="en-US"/>
        </w:rPr>
        <w:t> City and Polity Data Files, Personal communication</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Flynn, Dennis O. 1996 </w:t>
      </w:r>
      <w:r w:rsidRPr="005B0A67">
        <w:rPr>
          <w:rFonts w:ascii="Garamond" w:eastAsia="Times New Roman" w:hAnsi="Garamond" w:cs="Times New Roman"/>
          <w:i/>
          <w:iCs/>
          <w:color w:val="000000"/>
          <w:sz w:val="24"/>
          <w:szCs w:val="24"/>
          <w:lang w:eastAsia="en-US"/>
        </w:rPr>
        <w:t>World Silver and Monetary History in the 16</w:t>
      </w:r>
      <w:r w:rsidRPr="005B0A67">
        <w:rPr>
          <w:rFonts w:ascii="Garamond" w:eastAsia="Times New Roman" w:hAnsi="Garamond" w:cs="Times New Roman"/>
          <w:i/>
          <w:iCs/>
          <w:color w:val="000000"/>
          <w:sz w:val="24"/>
          <w:szCs w:val="24"/>
          <w:vertAlign w:val="superscript"/>
          <w:lang w:eastAsia="en-US"/>
        </w:rPr>
        <w:t>th</w:t>
      </w:r>
      <w:r w:rsidRPr="005B0A67">
        <w:rPr>
          <w:rFonts w:ascii="Garamond" w:eastAsia="Times New Roman" w:hAnsi="Garamond" w:cs="Times New Roman"/>
          <w:i/>
          <w:iCs/>
          <w:color w:val="000000"/>
          <w:sz w:val="24"/>
          <w:szCs w:val="24"/>
          <w:lang w:eastAsia="en-US"/>
        </w:rPr>
        <w:t> and 17</w:t>
      </w:r>
      <w:r w:rsidRPr="005B0A67">
        <w:rPr>
          <w:rFonts w:ascii="Garamond" w:eastAsia="Times New Roman" w:hAnsi="Garamond" w:cs="Times New Roman"/>
          <w:i/>
          <w:iCs/>
          <w:color w:val="000000"/>
          <w:sz w:val="24"/>
          <w:szCs w:val="24"/>
          <w:vertAlign w:val="superscript"/>
          <w:lang w:eastAsia="en-US"/>
        </w:rPr>
        <w:t>th</w:t>
      </w:r>
      <w:r w:rsidRPr="005B0A67">
        <w:rPr>
          <w:rFonts w:ascii="Garamond" w:eastAsia="Times New Roman" w:hAnsi="Garamond" w:cs="Times New Roman"/>
          <w:i/>
          <w:iCs/>
          <w:color w:val="000000"/>
          <w:sz w:val="24"/>
          <w:szCs w:val="24"/>
          <w:lang w:eastAsia="en-US"/>
        </w:rPr>
        <w:t> Centuries</w:t>
      </w:r>
      <w:r w:rsidRPr="005B0A67">
        <w:rPr>
          <w:rFonts w:ascii="Garamond" w:eastAsia="Times New Roman" w:hAnsi="Garamond" w:cs="Times New Roman"/>
          <w:color w:val="000000"/>
          <w:sz w:val="24"/>
          <w:szCs w:val="24"/>
          <w:lang w:eastAsia="en-US"/>
        </w:rPr>
        <w:t>.</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Brookfield, VT: Variorum.</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Frank,</w:t>
      </w:r>
      <w:r w:rsidR="00724623">
        <w:rPr>
          <w:rFonts w:ascii="Garamond" w:eastAsia="Times New Roman" w:hAnsi="Garamond" w:cs="Times New Roman"/>
          <w:color w:val="000000"/>
          <w:sz w:val="24"/>
          <w:szCs w:val="24"/>
          <w:lang w:eastAsia="en-US"/>
        </w:rPr>
        <w:t xml:space="preserve"> A. G., B.K. Gills, B. K.  1993</w:t>
      </w:r>
      <w:r w:rsidRPr="005B0A67">
        <w:rPr>
          <w:rFonts w:ascii="Garamond" w:eastAsia="Times New Roman" w:hAnsi="Garamond" w:cs="Times New Roman"/>
          <w:color w:val="000000"/>
          <w:sz w:val="24"/>
          <w:szCs w:val="24"/>
          <w:lang w:eastAsia="en-US"/>
        </w:rPr>
        <w:t xml:space="preserve"> </w:t>
      </w:r>
      <w:r w:rsidR="00724623">
        <w:rPr>
          <w:rFonts w:ascii="Garamond" w:eastAsia="Times New Roman" w:hAnsi="Garamond" w:cs="Times New Roman"/>
          <w:color w:val="000000"/>
          <w:sz w:val="24"/>
          <w:szCs w:val="24"/>
          <w:lang w:eastAsia="en-US"/>
        </w:rPr>
        <w:t xml:space="preserve">“The </w:t>
      </w:r>
      <w:proofErr w:type="spellStart"/>
      <w:r w:rsidR="00724623">
        <w:rPr>
          <w:rFonts w:ascii="Garamond" w:eastAsia="Times New Roman" w:hAnsi="Garamond" w:cs="Times New Roman"/>
          <w:color w:val="000000"/>
          <w:sz w:val="24"/>
          <w:szCs w:val="24"/>
          <w:lang w:eastAsia="en-US"/>
        </w:rPr>
        <w:t>Cumulation</w:t>
      </w:r>
      <w:proofErr w:type="spellEnd"/>
      <w:r w:rsidR="00724623">
        <w:rPr>
          <w:rFonts w:ascii="Garamond" w:eastAsia="Times New Roman" w:hAnsi="Garamond" w:cs="Times New Roman"/>
          <w:color w:val="000000"/>
          <w:sz w:val="24"/>
          <w:szCs w:val="24"/>
          <w:lang w:eastAsia="en-US"/>
        </w:rPr>
        <w:t xml:space="preserve"> of Accumulation”</w:t>
      </w:r>
      <w:r w:rsidRPr="005B0A67">
        <w:rPr>
          <w:rFonts w:ascii="Garamond" w:eastAsia="Times New Roman" w:hAnsi="Garamond" w:cs="Times New Roman"/>
          <w:color w:val="000000"/>
          <w:sz w:val="24"/>
          <w:szCs w:val="24"/>
          <w:lang w:eastAsia="en-US"/>
        </w:rPr>
        <w:t xml:space="preserve"> Pp. 81-114 in A.G.</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Frank and B.K. Gills, (eds.) </w:t>
      </w:r>
      <w:r w:rsidRPr="005B0A67">
        <w:rPr>
          <w:rFonts w:ascii="Garamond" w:eastAsia="Times New Roman" w:hAnsi="Garamond" w:cs="Times New Roman"/>
          <w:i/>
          <w:iCs/>
          <w:color w:val="000000"/>
          <w:sz w:val="24"/>
          <w:szCs w:val="24"/>
          <w:lang w:eastAsia="en-US"/>
        </w:rPr>
        <w:t>The World System: Five Hundred Years or Five Thousand?</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London: Routledge.</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Frank, Andre </w:t>
      </w:r>
      <w:proofErr w:type="spellStart"/>
      <w:r w:rsidRPr="005B0A67">
        <w:rPr>
          <w:rFonts w:ascii="Garamond" w:eastAsia="Times New Roman" w:hAnsi="Garamond" w:cs="Times New Roman"/>
          <w:color w:val="000000"/>
          <w:sz w:val="24"/>
          <w:szCs w:val="24"/>
          <w:lang w:eastAsia="en-US"/>
        </w:rPr>
        <w:t>Gunder</w:t>
      </w:r>
      <w:proofErr w:type="spellEnd"/>
      <w:r w:rsidRPr="005B0A67">
        <w:rPr>
          <w:rFonts w:ascii="Garamond" w:eastAsia="Times New Roman" w:hAnsi="Garamond" w:cs="Times New Roman"/>
          <w:color w:val="000000"/>
          <w:sz w:val="24"/>
          <w:szCs w:val="24"/>
          <w:lang w:eastAsia="en-US"/>
        </w:rPr>
        <w:t> 1998 </w:t>
      </w:r>
      <w:r w:rsidRPr="005B0A67">
        <w:rPr>
          <w:rFonts w:ascii="Garamond" w:eastAsia="Times New Roman" w:hAnsi="Garamond" w:cs="Times New Roman"/>
          <w:i/>
          <w:iCs/>
          <w:color w:val="000000"/>
          <w:sz w:val="24"/>
          <w:szCs w:val="24"/>
          <w:lang w:eastAsia="en-US"/>
        </w:rPr>
        <w:t>Reorient: Global Economy in the Asian Age</w:t>
      </w:r>
      <w:r w:rsidRPr="005B0A67">
        <w:rPr>
          <w:rFonts w:ascii="Garamond" w:eastAsia="Times New Roman" w:hAnsi="Garamond" w:cs="Times New Roman"/>
          <w:color w:val="000000"/>
          <w:sz w:val="24"/>
          <w:szCs w:val="24"/>
          <w:lang w:eastAsia="en-US"/>
        </w:rPr>
        <w:t>. Berkeley: University of California Press.</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______ .</w:t>
      </w:r>
      <w:r w:rsidR="004263DA" w:rsidRPr="005B0A67">
        <w:rPr>
          <w:rFonts w:ascii="Garamond" w:eastAsia="Times New Roman" w:hAnsi="Garamond" w:cs="Times New Roman"/>
          <w:color w:val="000000"/>
          <w:sz w:val="24"/>
          <w:szCs w:val="24"/>
          <w:lang w:eastAsia="en-US"/>
        </w:rPr>
        <w:t xml:space="preserve"> 2014 </w:t>
      </w:r>
      <w:r w:rsidR="004263DA" w:rsidRPr="005B0A67">
        <w:rPr>
          <w:rFonts w:ascii="Garamond" w:eastAsia="Times New Roman" w:hAnsi="Garamond" w:cs="Times New Roman"/>
          <w:i/>
          <w:iCs/>
          <w:color w:val="000000"/>
          <w:sz w:val="24"/>
          <w:szCs w:val="24"/>
          <w:lang w:eastAsia="en-US"/>
        </w:rPr>
        <w:t>Reorienting the 19</w:t>
      </w:r>
      <w:r w:rsidR="004263DA" w:rsidRPr="005B0A67">
        <w:rPr>
          <w:rFonts w:ascii="Garamond" w:eastAsia="Times New Roman" w:hAnsi="Garamond" w:cs="Times New Roman"/>
          <w:i/>
          <w:iCs/>
          <w:color w:val="000000"/>
          <w:sz w:val="24"/>
          <w:szCs w:val="24"/>
          <w:vertAlign w:val="superscript"/>
          <w:lang w:eastAsia="en-US"/>
        </w:rPr>
        <w:t>th</w:t>
      </w:r>
      <w:r w:rsidR="004263DA" w:rsidRPr="005B0A67">
        <w:rPr>
          <w:rFonts w:ascii="Garamond" w:eastAsia="Times New Roman" w:hAnsi="Garamond" w:cs="Times New Roman"/>
          <w:i/>
          <w:iCs/>
          <w:color w:val="000000"/>
          <w:sz w:val="24"/>
          <w:szCs w:val="24"/>
          <w:lang w:eastAsia="en-US"/>
        </w:rPr>
        <w:t> Century: Global Economy in the Continuing Asian Age</w:t>
      </w:r>
      <w:r w:rsidR="004263DA" w:rsidRPr="005B0A67">
        <w:rPr>
          <w:rFonts w:ascii="Garamond" w:eastAsia="Times New Roman" w:hAnsi="Garamond" w:cs="Times New Roman"/>
          <w:color w:val="000000"/>
          <w:sz w:val="24"/>
          <w:szCs w:val="24"/>
          <w:lang w:eastAsia="en-US"/>
        </w:rPr>
        <w:t>. Boulder, CO: Paradigm Publishers.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Frank, Andre </w:t>
      </w:r>
      <w:proofErr w:type="spellStart"/>
      <w:r w:rsidRPr="005B0A67">
        <w:rPr>
          <w:rFonts w:ascii="Garamond" w:eastAsia="Times New Roman" w:hAnsi="Garamond" w:cs="Times New Roman"/>
          <w:color w:val="000000"/>
          <w:sz w:val="24"/>
          <w:szCs w:val="24"/>
          <w:lang w:eastAsia="en-US"/>
        </w:rPr>
        <w:t>Gunder</w:t>
      </w:r>
      <w:proofErr w:type="spellEnd"/>
      <w:r w:rsidRPr="005B0A67">
        <w:rPr>
          <w:rFonts w:ascii="Garamond" w:eastAsia="Times New Roman" w:hAnsi="Garamond" w:cs="Times New Roman"/>
          <w:color w:val="000000"/>
          <w:sz w:val="24"/>
          <w:szCs w:val="24"/>
          <w:lang w:eastAsia="en-US"/>
        </w:rPr>
        <w:t> and Barry Gills 1994 </w:t>
      </w:r>
      <w:r w:rsidRPr="005B0A67">
        <w:rPr>
          <w:rFonts w:ascii="Garamond" w:eastAsia="Times New Roman" w:hAnsi="Garamond" w:cs="Times New Roman"/>
          <w:i/>
          <w:iCs/>
          <w:color w:val="000000"/>
          <w:sz w:val="24"/>
          <w:szCs w:val="24"/>
          <w:lang w:eastAsia="en-US"/>
        </w:rPr>
        <w:t>The World System: 500 or 5000 Years</w:t>
      </w:r>
      <w:r w:rsidRPr="005B0A67">
        <w:rPr>
          <w:rFonts w:ascii="Garamond" w:eastAsia="Times New Roman" w:hAnsi="Garamond" w:cs="Times New Roman"/>
          <w:color w:val="000000"/>
          <w:sz w:val="24"/>
          <w:szCs w:val="24"/>
          <w:lang w:eastAsia="en-US"/>
        </w:rPr>
        <w:t>? London: Routledge.</w:t>
      </w:r>
    </w:p>
    <w:p w:rsidR="004263DA" w:rsidRDefault="004263DA" w:rsidP="00696473">
      <w:pPr>
        <w:keepNext/>
        <w:ind w:left="720" w:hanging="720"/>
        <w:outlineLvl w:val="1"/>
        <w:rPr>
          <w:rFonts w:ascii="Garamond" w:eastAsia="Times New Roman" w:hAnsi="Garamond" w:cs="Courier New"/>
          <w:color w:val="800080"/>
          <w:sz w:val="24"/>
          <w:szCs w:val="24"/>
          <w:u w:val="single"/>
          <w:lang w:eastAsia="en-US"/>
        </w:rPr>
      </w:pPr>
      <w:proofErr w:type="spellStart"/>
      <w:r w:rsidRPr="005B0A67">
        <w:rPr>
          <w:rFonts w:ascii="Garamond" w:eastAsia="Times New Roman" w:hAnsi="Garamond" w:cs="Times New Roman"/>
          <w:color w:val="000000"/>
          <w:sz w:val="24"/>
          <w:szCs w:val="24"/>
          <w:lang w:eastAsia="en-US"/>
        </w:rPr>
        <w:t>GeaCron</w:t>
      </w:r>
      <w:proofErr w:type="spellEnd"/>
      <w:r w:rsidRPr="005B0A67">
        <w:rPr>
          <w:rFonts w:ascii="Garamond" w:eastAsia="Times New Roman" w:hAnsi="Garamond" w:cs="Times New Roman"/>
          <w:i/>
          <w:iCs/>
          <w:color w:val="000000"/>
          <w:sz w:val="24"/>
          <w:szCs w:val="24"/>
          <w:lang w:eastAsia="en-US"/>
        </w:rPr>
        <w:t xml:space="preserve"> World History Atlas &amp; Timelines since 3000 </w:t>
      </w:r>
      <w:r w:rsidR="002C2C02" w:rsidRPr="005B0A67">
        <w:rPr>
          <w:rFonts w:ascii="Garamond" w:eastAsia="Times New Roman" w:hAnsi="Garamond" w:cs="Times New Roman"/>
          <w:i/>
          <w:iCs/>
          <w:color w:val="000000"/>
          <w:sz w:val="24"/>
          <w:szCs w:val="24"/>
          <w:lang w:eastAsia="en-US"/>
        </w:rPr>
        <w:t>BC.</w:t>
      </w:r>
      <w:r w:rsidRPr="005B0A67">
        <w:rPr>
          <w:rFonts w:ascii="Garamond" w:eastAsia="Times New Roman" w:hAnsi="Garamond" w:cs="Times New Roman"/>
          <w:i/>
          <w:iCs/>
          <w:color w:val="000000"/>
          <w:sz w:val="24"/>
          <w:szCs w:val="24"/>
          <w:lang w:eastAsia="en-US"/>
        </w:rPr>
        <w:t> </w:t>
      </w:r>
      <w:r w:rsidRPr="005B0A67">
        <w:rPr>
          <w:rFonts w:ascii="Garamond" w:eastAsia="Times New Roman" w:hAnsi="Garamond" w:cs="Times New Roman"/>
          <w:color w:val="000000"/>
          <w:sz w:val="24"/>
          <w:szCs w:val="24"/>
          <w:lang w:eastAsia="en-US"/>
        </w:rPr>
        <w:t>Luis </w:t>
      </w:r>
      <w:proofErr w:type="spellStart"/>
      <w:r w:rsidRPr="005B0A67">
        <w:rPr>
          <w:rFonts w:ascii="Garamond" w:eastAsia="Times New Roman" w:hAnsi="Garamond" w:cs="Times New Roman"/>
          <w:color w:val="000000"/>
          <w:sz w:val="24"/>
          <w:szCs w:val="24"/>
          <w:lang w:eastAsia="en-US"/>
        </w:rPr>
        <w:t>Músquiz</w:t>
      </w:r>
      <w:proofErr w:type="spellEnd"/>
      <w:r w:rsidRPr="005B0A67">
        <w:rPr>
          <w:rFonts w:ascii="Garamond" w:eastAsia="Times New Roman" w:hAnsi="Garamond" w:cs="Times New Roman"/>
          <w:color w:val="000000"/>
          <w:sz w:val="24"/>
          <w:szCs w:val="24"/>
          <w:lang w:eastAsia="en-US"/>
        </w:rPr>
        <w:t> </w:t>
      </w:r>
      <w:hyperlink r:id="rId32" w:history="1">
        <w:r w:rsidRPr="005B0A67">
          <w:rPr>
            <w:rFonts w:ascii="Garamond" w:eastAsia="Times New Roman" w:hAnsi="Garamond" w:cs="Courier New"/>
            <w:color w:val="800080"/>
            <w:sz w:val="24"/>
            <w:szCs w:val="24"/>
            <w:u w:val="single"/>
            <w:lang w:eastAsia="en-US"/>
          </w:rPr>
          <w:t>http://geacron.com</w:t>
        </w:r>
      </w:hyperlink>
    </w:p>
    <w:p w:rsidR="00604510" w:rsidRDefault="00604510" w:rsidP="00604510">
      <w:pPr>
        <w:rPr>
          <w:rFonts w:ascii="Garamond" w:hAnsi="Garamond" w:cs="Times New Roman"/>
          <w:sz w:val="24"/>
          <w:szCs w:val="24"/>
        </w:rPr>
      </w:pPr>
      <w:r w:rsidRPr="00306EDC">
        <w:rPr>
          <w:rFonts w:ascii="Garamond" w:hAnsi="Garamond" w:cs="Times New Roman"/>
          <w:sz w:val="24"/>
          <w:szCs w:val="24"/>
        </w:rPr>
        <w:t xml:space="preserve">Granger, C. W. (1988) “Some Recent Development in a Concept of Causality.” </w:t>
      </w:r>
      <w:r w:rsidRPr="00306EDC">
        <w:rPr>
          <w:rFonts w:ascii="Garamond" w:hAnsi="Garamond" w:cs="Times New Roman"/>
          <w:i/>
          <w:iCs/>
          <w:sz w:val="24"/>
          <w:szCs w:val="24"/>
        </w:rPr>
        <w:t>Journal of Econometrics</w:t>
      </w:r>
      <w:r w:rsidRPr="00306EDC">
        <w:rPr>
          <w:rFonts w:ascii="Garamond" w:hAnsi="Garamond" w:cs="Times New Roman"/>
          <w:sz w:val="24"/>
          <w:szCs w:val="24"/>
        </w:rPr>
        <w:t>, </w:t>
      </w:r>
      <w:r w:rsidRPr="00306EDC">
        <w:rPr>
          <w:rFonts w:ascii="Garamond" w:hAnsi="Garamond" w:cs="Times New Roman"/>
          <w:i/>
          <w:iCs/>
          <w:sz w:val="24"/>
          <w:szCs w:val="24"/>
        </w:rPr>
        <w:t>39</w:t>
      </w:r>
      <w:r w:rsidRPr="00306EDC">
        <w:rPr>
          <w:rFonts w:ascii="Garamond" w:hAnsi="Garamond" w:cs="Times New Roman"/>
          <w:sz w:val="24"/>
          <w:szCs w:val="24"/>
        </w:rPr>
        <w:t xml:space="preserve">, 1: </w:t>
      </w:r>
    </w:p>
    <w:p w:rsidR="00604510" w:rsidRPr="00306EDC" w:rsidRDefault="00604510" w:rsidP="00604510">
      <w:pPr>
        <w:rPr>
          <w:rFonts w:ascii="Garamond" w:hAnsi="Garamond" w:cs="Times New Roman"/>
          <w:sz w:val="24"/>
          <w:szCs w:val="24"/>
        </w:rPr>
      </w:pPr>
      <w:r>
        <w:rPr>
          <w:rFonts w:ascii="Garamond" w:hAnsi="Garamond" w:cs="Times New Roman"/>
          <w:sz w:val="24"/>
          <w:szCs w:val="24"/>
        </w:rPr>
        <w:tab/>
      </w:r>
      <w:r w:rsidRPr="00306EDC">
        <w:rPr>
          <w:rFonts w:ascii="Garamond" w:hAnsi="Garamond" w:cs="Times New Roman"/>
          <w:sz w:val="24"/>
          <w:szCs w:val="24"/>
        </w:rPr>
        <w:t>199-211.</w:t>
      </w:r>
    </w:p>
    <w:p w:rsidR="00604510" w:rsidRDefault="00604510" w:rsidP="00604510">
      <w:pPr>
        <w:pStyle w:val="NormalWeb"/>
        <w:rPr>
          <w:rFonts w:ascii="Garamond" w:hAnsi="Garamond"/>
        </w:rPr>
      </w:pPr>
      <w:r w:rsidRPr="00306EDC">
        <w:rPr>
          <w:rFonts w:ascii="Garamond" w:hAnsi="Garamond"/>
        </w:rPr>
        <w:t xml:space="preserve">Granger, C. W., &amp; Newbold, P. (1974) Spurious Regressions in Econometrics. </w:t>
      </w:r>
      <w:r w:rsidRPr="00306EDC">
        <w:rPr>
          <w:rFonts w:ascii="Garamond" w:hAnsi="Garamond"/>
          <w:i/>
          <w:iCs/>
        </w:rPr>
        <w:t>Journal of Econometrics</w:t>
      </w:r>
      <w:r w:rsidRPr="00306EDC">
        <w:rPr>
          <w:rFonts w:ascii="Garamond" w:hAnsi="Garamond"/>
        </w:rPr>
        <w:t xml:space="preserve">, </w:t>
      </w:r>
      <w:r w:rsidRPr="00306EDC">
        <w:rPr>
          <w:rFonts w:ascii="Garamond" w:hAnsi="Garamond"/>
          <w:i/>
          <w:iCs/>
        </w:rPr>
        <w:t>2</w:t>
      </w:r>
      <w:r w:rsidRPr="00306EDC">
        <w:rPr>
          <w:rFonts w:ascii="Garamond" w:hAnsi="Garamond"/>
        </w:rPr>
        <w:t>, 111–</w:t>
      </w:r>
    </w:p>
    <w:p w:rsidR="00604510" w:rsidRPr="00306EDC" w:rsidRDefault="00604510" w:rsidP="00604510">
      <w:pPr>
        <w:pStyle w:val="NormalWeb"/>
        <w:rPr>
          <w:rFonts w:ascii="Garamond" w:hAnsi="Garamond"/>
        </w:rPr>
      </w:pPr>
      <w:r>
        <w:rPr>
          <w:rFonts w:ascii="Garamond" w:hAnsi="Garamond"/>
        </w:rPr>
        <w:tab/>
      </w:r>
      <w:r w:rsidRPr="00306EDC">
        <w:rPr>
          <w:rFonts w:ascii="Garamond" w:hAnsi="Garamond"/>
        </w:rPr>
        <w:t xml:space="preserve">120. </w:t>
      </w:r>
    </w:p>
    <w:p w:rsidR="004263DA" w:rsidRPr="005B0A67" w:rsidRDefault="004263DA" w:rsidP="0069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aramond" w:eastAsia="Times New Roman" w:hAnsi="Garamond" w:cs="Courier New"/>
          <w:color w:val="000000"/>
          <w:sz w:val="24"/>
          <w:szCs w:val="24"/>
          <w:lang w:eastAsia="en-US"/>
        </w:rPr>
      </w:pPr>
      <w:r w:rsidRPr="005B0A67">
        <w:rPr>
          <w:rFonts w:ascii="Garamond" w:eastAsia="Times New Roman" w:hAnsi="Garamond" w:cs="Courier New"/>
          <w:color w:val="000000"/>
          <w:sz w:val="24"/>
          <w:szCs w:val="24"/>
          <w:lang w:eastAsia="en-US"/>
        </w:rPr>
        <w:t xml:space="preserve">Hall, Thomas D., Christopher Chase-Dunn and Richard Niemeyer. 2009 “The Roles of Central Asian Middlemen and Marcher States in Afro-Eurasian World-System Synchrony.” Pp. 69-82 in </w:t>
      </w:r>
      <w:r w:rsidRPr="005B0A67">
        <w:rPr>
          <w:rFonts w:ascii="Garamond" w:eastAsia="Times New Roman" w:hAnsi="Garamond" w:cs="Courier New"/>
          <w:i/>
          <w:iCs/>
          <w:color w:val="000000"/>
          <w:sz w:val="24"/>
          <w:szCs w:val="24"/>
          <w:lang w:eastAsia="en-US"/>
        </w:rPr>
        <w:t>The Rise of Asia and the Transformation of the World-System</w:t>
      </w:r>
      <w:r w:rsidRPr="005B0A67">
        <w:rPr>
          <w:rFonts w:ascii="Garamond" w:eastAsia="Times New Roman" w:hAnsi="Garamond" w:cs="Courier New"/>
          <w:color w:val="000000"/>
          <w:sz w:val="24"/>
          <w:szCs w:val="24"/>
          <w:lang w:eastAsia="en-US"/>
        </w:rPr>
        <w:t xml:space="preserve">, Political Economy of the World-System Annuals. </w:t>
      </w:r>
      <w:r w:rsidR="00AF1435" w:rsidRPr="005B0A67">
        <w:rPr>
          <w:rFonts w:ascii="Garamond" w:eastAsia="Times New Roman" w:hAnsi="Garamond" w:cs="Courier New"/>
          <w:color w:val="000000"/>
          <w:sz w:val="24"/>
          <w:szCs w:val="24"/>
          <w:lang w:eastAsia="en-US"/>
        </w:rPr>
        <w:t xml:space="preserve">Vol XXX, edited by Ganesh K. </w:t>
      </w:r>
      <w:proofErr w:type="spellStart"/>
      <w:r w:rsidR="00AF1435" w:rsidRPr="005B0A67">
        <w:rPr>
          <w:rFonts w:ascii="Garamond" w:eastAsia="Times New Roman" w:hAnsi="Garamond" w:cs="Courier New"/>
          <w:color w:val="000000"/>
          <w:sz w:val="24"/>
          <w:szCs w:val="24"/>
          <w:lang w:eastAsia="en-US"/>
        </w:rPr>
        <w:t>Tri</w:t>
      </w:r>
      <w:r w:rsidRPr="005B0A67">
        <w:rPr>
          <w:rFonts w:ascii="Garamond" w:eastAsia="Times New Roman" w:hAnsi="Garamond" w:cs="Courier New"/>
          <w:color w:val="000000"/>
          <w:sz w:val="24"/>
          <w:szCs w:val="24"/>
          <w:lang w:eastAsia="en-US"/>
        </w:rPr>
        <w:t>chur</w:t>
      </w:r>
      <w:proofErr w:type="spellEnd"/>
      <w:r w:rsidRPr="005B0A67">
        <w:rPr>
          <w:rFonts w:ascii="Garamond" w:eastAsia="Times New Roman" w:hAnsi="Garamond" w:cs="Courier New"/>
          <w:color w:val="000000"/>
          <w:sz w:val="24"/>
          <w:szCs w:val="24"/>
          <w:lang w:eastAsia="en-US"/>
        </w:rPr>
        <w:t>. Boulder, CO: Paradigm Press.</w:t>
      </w:r>
    </w:p>
    <w:p w:rsidR="005E5957" w:rsidRPr="005B0A67" w:rsidRDefault="005E5957" w:rsidP="005E5957">
      <w:pPr>
        <w:rPr>
          <w:rFonts w:ascii="Garamond" w:hAnsi="Garamond"/>
          <w:sz w:val="24"/>
          <w:szCs w:val="24"/>
        </w:rPr>
      </w:pPr>
      <w:r w:rsidRPr="005B0A67">
        <w:rPr>
          <w:rFonts w:ascii="Garamond" w:hAnsi="Garamond" w:cs="Tahoma"/>
          <w:bCs/>
          <w:color w:val="000000"/>
          <w:sz w:val="24"/>
          <w:szCs w:val="24"/>
        </w:rPr>
        <w:t>"History of the World: Every Year"</w:t>
      </w:r>
      <w:r w:rsidRPr="005B0A67">
        <w:rPr>
          <w:rFonts w:ascii="Garamond" w:hAnsi="Garamond" w:cs="Tahoma"/>
          <w:b/>
          <w:bCs/>
          <w:color w:val="000000"/>
          <w:sz w:val="24"/>
          <w:szCs w:val="24"/>
        </w:rPr>
        <w:t xml:space="preserve"> </w:t>
      </w:r>
      <w:r w:rsidRPr="005B0A67">
        <w:rPr>
          <w:rFonts w:ascii="Garamond" w:hAnsi="Garamond" w:cs="Courier New"/>
          <w:color w:val="000000"/>
          <w:sz w:val="24"/>
          <w:szCs w:val="24"/>
        </w:rPr>
        <w:t>territorial polities since 3150 BC  with nice music</w:t>
      </w:r>
    </w:p>
    <w:p w:rsidR="005E5957" w:rsidRPr="005B0A67" w:rsidRDefault="00B10D9A" w:rsidP="005E5957">
      <w:pPr>
        <w:ind w:firstLine="720"/>
        <w:rPr>
          <w:rFonts w:ascii="Garamond" w:hAnsi="Garamond"/>
          <w:sz w:val="24"/>
          <w:szCs w:val="24"/>
        </w:rPr>
      </w:pPr>
      <w:hyperlink r:id="rId33" w:history="1">
        <w:r w:rsidR="005E5957" w:rsidRPr="005B0A67">
          <w:rPr>
            <w:rStyle w:val="Hyperlink"/>
            <w:rFonts w:ascii="Garamond" w:hAnsi="Garamond"/>
            <w:sz w:val="24"/>
            <w:szCs w:val="24"/>
          </w:rPr>
          <w:t>https://www.youtube.com/watch?v=ymI5Uv5cGU4&amp;feature=em-share_video_user</w:t>
        </w:r>
      </w:hyperlink>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Honeychurch</w:t>
      </w:r>
      <w:proofErr w:type="spellEnd"/>
      <w:r w:rsidRPr="005B0A67">
        <w:rPr>
          <w:rFonts w:ascii="Garamond" w:eastAsia="Times New Roman" w:hAnsi="Garamond" w:cs="Times New Roman"/>
          <w:color w:val="000000"/>
          <w:sz w:val="24"/>
          <w:szCs w:val="24"/>
          <w:lang w:eastAsia="en-US"/>
        </w:rPr>
        <w:t>, William 2013 “The Nomad as State Builder: Historical Theory</w:t>
      </w:r>
      <w:r w:rsidR="00784171"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and Material Evidence from Mongolia” </w:t>
      </w:r>
      <w:r w:rsidRPr="005B0A67">
        <w:rPr>
          <w:rFonts w:ascii="Garamond" w:eastAsia="Times New Roman" w:hAnsi="Garamond" w:cs="Times New Roman"/>
          <w:i/>
          <w:iCs/>
          <w:color w:val="000000"/>
          <w:sz w:val="24"/>
          <w:szCs w:val="24"/>
          <w:lang w:eastAsia="en-US"/>
        </w:rPr>
        <w:t>Journal of World Prehistory</w:t>
      </w:r>
      <w:r w:rsidRPr="005B0A67">
        <w:rPr>
          <w:rFonts w:ascii="Garamond" w:eastAsia="Times New Roman" w:hAnsi="Garamond" w:cs="Times New Roman"/>
          <w:color w:val="000000"/>
          <w:sz w:val="24"/>
          <w:szCs w:val="24"/>
          <w:lang w:eastAsia="en-US"/>
        </w:rPr>
        <w:t> 26:283–321</w:t>
      </w:r>
      <w:r w:rsidR="00696473" w:rsidRPr="005B0A67">
        <w:rPr>
          <w:rFonts w:ascii="Garamond" w:eastAsia="Times New Roman" w:hAnsi="Garamond" w:cs="Times New Roman"/>
          <w:color w:val="000000"/>
          <w:sz w:val="24"/>
          <w:szCs w:val="24"/>
          <w:lang w:eastAsia="en-US"/>
        </w:rPr>
        <w:t>.</w:t>
      </w:r>
    </w:p>
    <w:p w:rsidR="004263DA" w:rsidRPr="005B0A67" w:rsidRDefault="004263DA" w:rsidP="0069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aramond" w:eastAsia="Times New Roman" w:hAnsi="Garamond" w:cs="Courier New"/>
          <w:color w:val="000000"/>
          <w:sz w:val="24"/>
          <w:szCs w:val="24"/>
          <w:lang w:eastAsia="en-US"/>
        </w:rPr>
      </w:pPr>
      <w:r w:rsidRPr="005B0A67">
        <w:rPr>
          <w:rFonts w:ascii="Garamond" w:eastAsia="Times New Roman" w:hAnsi="Garamond" w:cs="Courier New"/>
          <w:color w:val="000000"/>
          <w:sz w:val="24"/>
          <w:szCs w:val="24"/>
          <w:lang w:eastAsia="en-US"/>
        </w:rPr>
        <w:t>Hui, Victoria Tin-</w:t>
      </w:r>
      <w:proofErr w:type="spellStart"/>
      <w:r w:rsidRPr="005B0A67">
        <w:rPr>
          <w:rFonts w:ascii="Garamond" w:eastAsia="Times New Roman" w:hAnsi="Garamond" w:cs="Courier New"/>
          <w:color w:val="000000"/>
          <w:sz w:val="24"/>
          <w:szCs w:val="24"/>
          <w:lang w:eastAsia="en-US"/>
        </w:rPr>
        <w:t>Bor</w:t>
      </w:r>
      <w:proofErr w:type="spellEnd"/>
      <w:r w:rsidRPr="005B0A67">
        <w:rPr>
          <w:rFonts w:ascii="Garamond" w:eastAsia="Times New Roman" w:hAnsi="Garamond" w:cs="Courier New"/>
          <w:color w:val="000000"/>
          <w:sz w:val="24"/>
          <w:szCs w:val="24"/>
          <w:lang w:eastAsia="en-US"/>
        </w:rPr>
        <w:t xml:space="preserve"> 2005 </w:t>
      </w:r>
      <w:r w:rsidRPr="005B0A67">
        <w:rPr>
          <w:rFonts w:ascii="Garamond" w:eastAsia="Times New Roman" w:hAnsi="Garamond" w:cs="Courier New"/>
          <w:i/>
          <w:iCs/>
          <w:color w:val="000000"/>
          <w:sz w:val="24"/>
          <w:szCs w:val="24"/>
          <w:lang w:eastAsia="en-US"/>
        </w:rPr>
        <w:t>War and state Formation in Ancient China and Early Modern Europe</w:t>
      </w:r>
      <w:r w:rsidRPr="005B0A67">
        <w:rPr>
          <w:rFonts w:ascii="Garamond" w:eastAsia="Times New Roman" w:hAnsi="Garamond" w:cs="Courier New"/>
          <w:color w:val="000000"/>
          <w:sz w:val="24"/>
          <w:szCs w:val="24"/>
          <w:lang w:eastAsia="en-US"/>
        </w:rPr>
        <w:t>. Cambridge: Cambridge University Press.</w:t>
      </w:r>
    </w:p>
    <w:p w:rsidR="004263DA" w:rsidRPr="005B0A67" w:rsidRDefault="004D0421" w:rsidP="0069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aramond" w:eastAsia="Times New Roman" w:hAnsi="Garamond" w:cs="Courier New"/>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Courier New"/>
          <w:color w:val="000000"/>
          <w:sz w:val="24"/>
          <w:szCs w:val="24"/>
          <w:lang w:eastAsia="en-US"/>
        </w:rPr>
        <w:t xml:space="preserve">2008 “How China was ruled” </w:t>
      </w:r>
      <w:r w:rsidR="004263DA" w:rsidRPr="005B0A67">
        <w:rPr>
          <w:rFonts w:ascii="Garamond" w:eastAsia="Times New Roman" w:hAnsi="Garamond" w:cs="Courier New"/>
          <w:i/>
          <w:iCs/>
          <w:color w:val="000000"/>
          <w:sz w:val="24"/>
          <w:szCs w:val="24"/>
          <w:lang w:eastAsia="en-US"/>
        </w:rPr>
        <w:t>China Futures</w:t>
      </w:r>
      <w:r w:rsidR="004263DA" w:rsidRPr="005B0A67">
        <w:rPr>
          <w:rFonts w:ascii="Garamond" w:eastAsia="Times New Roman" w:hAnsi="Garamond" w:cs="Courier New"/>
          <w:color w:val="000000"/>
          <w:sz w:val="24"/>
          <w:szCs w:val="24"/>
          <w:lang w:eastAsia="en-US"/>
        </w:rPr>
        <w:t>, Spring, 53-65</w:t>
      </w:r>
    </w:p>
    <w:p w:rsidR="004263DA" w:rsidRPr="005B0A67" w:rsidRDefault="004263DA" w:rsidP="0069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aramond" w:eastAsia="Times New Roman" w:hAnsi="Garamond" w:cs="Courier New"/>
          <w:color w:val="000000"/>
          <w:sz w:val="24"/>
          <w:szCs w:val="24"/>
          <w:lang w:eastAsia="en-US"/>
        </w:rPr>
      </w:pPr>
      <w:r w:rsidRPr="005B0A67">
        <w:rPr>
          <w:rFonts w:ascii="Garamond" w:eastAsia="Times New Roman" w:hAnsi="Garamond" w:cs="Courier New"/>
          <w:color w:val="000000"/>
          <w:sz w:val="24"/>
          <w:szCs w:val="24"/>
          <w:lang w:eastAsia="en-US"/>
        </w:rPr>
        <w:lastRenderedPageBreak/>
        <w:t xml:space="preserve">Innis, Harold 1972 [1950] </w:t>
      </w:r>
      <w:r w:rsidRPr="005B0A67">
        <w:rPr>
          <w:rFonts w:ascii="Garamond" w:eastAsia="Times New Roman" w:hAnsi="Garamond" w:cs="Courier New"/>
          <w:i/>
          <w:iCs/>
          <w:color w:val="000000"/>
          <w:sz w:val="24"/>
          <w:szCs w:val="24"/>
          <w:lang w:eastAsia="en-US"/>
        </w:rPr>
        <w:t>Empire and Communications</w:t>
      </w:r>
      <w:r w:rsidRPr="005B0A67">
        <w:rPr>
          <w:rFonts w:ascii="Garamond" w:eastAsia="Times New Roman" w:hAnsi="Garamond" w:cs="Courier New"/>
          <w:color w:val="000000"/>
          <w:sz w:val="24"/>
          <w:szCs w:val="24"/>
          <w:lang w:eastAsia="en-US"/>
        </w:rPr>
        <w:t>. Toronto: University of Toronto Press.</w:t>
      </w:r>
      <w:r w:rsidR="00696473" w:rsidRPr="005B0A67">
        <w:rPr>
          <w:rFonts w:ascii="Garamond" w:eastAsia="Times New Roman" w:hAnsi="Garamond" w:cs="Courier New"/>
          <w:color w:val="000000"/>
          <w:sz w:val="24"/>
          <w:szCs w:val="24"/>
          <w:lang w:eastAsia="en-US"/>
        </w:rPr>
        <w:t xml:space="preserve"> </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Inoue, Hiroko 2014 “Settlement dynamics and empire dynamics: a comparative and</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evolutionary world-systems perspective” Paper presented at the annual meeting of</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the American Sociological Association, San Francisco, August 17.</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Inoue, Hiroko, Alexis </w:t>
      </w:r>
      <w:proofErr w:type="spellStart"/>
      <w:r w:rsidRPr="005B0A67">
        <w:rPr>
          <w:rFonts w:ascii="Garamond" w:eastAsia="Times New Roman" w:hAnsi="Garamond" w:cs="Times New Roman"/>
          <w:color w:val="000000"/>
          <w:sz w:val="24"/>
          <w:szCs w:val="24"/>
          <w:lang w:eastAsia="en-US"/>
        </w:rPr>
        <w:t>Álvarez</w:t>
      </w:r>
      <w:proofErr w:type="spellEnd"/>
      <w:r w:rsidRPr="005B0A67">
        <w:rPr>
          <w:rFonts w:ascii="Garamond" w:eastAsia="Times New Roman" w:hAnsi="Garamond" w:cs="Times New Roman"/>
          <w:color w:val="000000"/>
          <w:sz w:val="24"/>
          <w:szCs w:val="24"/>
          <w:lang w:eastAsia="en-US"/>
        </w:rPr>
        <w:t>, Kirk Lawrence, Anthony Roberts, Eugene N Anderson and</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Christopher Chase-Dunn 2012 “Polity scale shifts in world-systems since the Bronze Age:</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A comparative inventory of upsweeps and collapses” </w:t>
      </w:r>
      <w:r w:rsidRPr="005B0A67">
        <w:rPr>
          <w:rFonts w:ascii="Garamond" w:eastAsia="Times New Roman" w:hAnsi="Garamond" w:cs="Times New Roman"/>
          <w:i/>
          <w:iCs/>
          <w:color w:val="000000"/>
          <w:sz w:val="24"/>
          <w:szCs w:val="24"/>
          <w:lang w:eastAsia="en-US"/>
        </w:rPr>
        <w:t>International Journal of Comparative Sociology</w:t>
      </w:r>
      <w:r w:rsidR="00696473" w:rsidRPr="005B0A67">
        <w:rPr>
          <w:rFonts w:ascii="Garamond" w:eastAsia="Times New Roman" w:hAnsi="Garamond" w:cs="Times New Roman"/>
          <w:i/>
          <w:iCs/>
          <w:color w:val="000000"/>
          <w:sz w:val="24"/>
          <w:szCs w:val="24"/>
          <w:lang w:eastAsia="en-US"/>
        </w:rPr>
        <w:t xml:space="preserve"> </w:t>
      </w:r>
      <w:hyperlink r:id="rId34" w:history="1">
        <w:r w:rsidRPr="005B0A67">
          <w:rPr>
            <w:rFonts w:ascii="Garamond" w:eastAsia="Times New Roman" w:hAnsi="Garamond" w:cs="Times New Roman"/>
            <w:color w:val="800080"/>
            <w:sz w:val="24"/>
            <w:szCs w:val="24"/>
            <w:u w:val="single"/>
            <w:lang w:eastAsia="en-US"/>
          </w:rPr>
          <w:t>http://cos.sagepub.com/content/53/3/210.full.pdf+html</w:t>
        </w:r>
      </w:hyperlink>
    </w:p>
    <w:p w:rsidR="004263DA" w:rsidRPr="005B0A67" w:rsidRDefault="00696473" w:rsidP="0069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Style w:val="Hyperlink"/>
          <w:rFonts w:ascii="Garamond" w:eastAsia="Times New Roman" w:hAnsi="Garamond" w:cs="Courier New"/>
          <w:sz w:val="24"/>
          <w:szCs w:val="24"/>
          <w:lang w:eastAsia="en-US"/>
        </w:rPr>
      </w:pPr>
      <w:r w:rsidRPr="005B0A67">
        <w:rPr>
          <w:rFonts w:ascii="Garamond" w:eastAsia="Times New Roman" w:hAnsi="Garamond" w:cs="Courier New"/>
          <w:color w:val="000000"/>
          <w:sz w:val="24"/>
          <w:szCs w:val="24"/>
          <w:lang w:eastAsia="en-US"/>
        </w:rPr>
        <w:t>Inoue, Hiroko</w:t>
      </w:r>
      <w:r w:rsidR="004263DA" w:rsidRPr="005B0A67">
        <w:rPr>
          <w:rFonts w:ascii="Garamond" w:eastAsia="Times New Roman" w:hAnsi="Garamond" w:cs="Courier New"/>
          <w:color w:val="000000"/>
          <w:sz w:val="24"/>
          <w:szCs w:val="24"/>
          <w:lang w:eastAsia="en-US"/>
        </w:rPr>
        <w:t xml:space="preserve">, Alexis </w:t>
      </w:r>
      <w:proofErr w:type="spellStart"/>
      <w:r w:rsidR="004263DA" w:rsidRPr="005B0A67">
        <w:rPr>
          <w:rFonts w:ascii="Garamond" w:eastAsia="Times New Roman" w:hAnsi="Garamond" w:cs="Courier New"/>
          <w:color w:val="000000"/>
          <w:sz w:val="24"/>
          <w:szCs w:val="24"/>
          <w:lang w:eastAsia="en-US"/>
        </w:rPr>
        <w:t>Álvarez</w:t>
      </w:r>
      <w:proofErr w:type="spellEnd"/>
      <w:r w:rsidR="004263DA" w:rsidRPr="005B0A67">
        <w:rPr>
          <w:rFonts w:ascii="Garamond" w:eastAsia="Times New Roman" w:hAnsi="Garamond" w:cs="Courier New"/>
          <w:color w:val="000000"/>
          <w:sz w:val="24"/>
          <w:szCs w:val="24"/>
          <w:lang w:eastAsia="en-US"/>
        </w:rPr>
        <w:t>, Eugene N. Anderson,</w:t>
      </w:r>
      <w:r w:rsidR="004263DA" w:rsidRPr="005B0A67">
        <w:rPr>
          <w:rFonts w:ascii="Garamond" w:eastAsia="Times New Roman" w:hAnsi="Garamond" w:cs="Courier New"/>
          <w:b/>
          <w:bCs/>
          <w:color w:val="000000"/>
          <w:sz w:val="24"/>
          <w:szCs w:val="24"/>
          <w:lang w:eastAsia="en-US"/>
        </w:rPr>
        <w:t xml:space="preserve"> </w:t>
      </w:r>
      <w:r w:rsidR="004263DA" w:rsidRPr="005B0A67">
        <w:rPr>
          <w:rFonts w:ascii="Garamond" w:eastAsia="Times New Roman" w:hAnsi="Garamond" w:cs="Courier New"/>
          <w:color w:val="000000"/>
          <w:sz w:val="24"/>
          <w:szCs w:val="24"/>
          <w:lang w:eastAsia="en-US"/>
        </w:rPr>
        <w:t xml:space="preserve">Andrew Owen, Rebecca </w:t>
      </w:r>
      <w:proofErr w:type="spellStart"/>
      <w:r w:rsidR="004263DA" w:rsidRPr="005B0A67">
        <w:rPr>
          <w:rFonts w:ascii="Garamond" w:eastAsia="Times New Roman" w:hAnsi="Garamond" w:cs="Courier New"/>
          <w:color w:val="000000"/>
          <w:sz w:val="24"/>
          <w:szCs w:val="24"/>
          <w:lang w:eastAsia="en-US"/>
        </w:rPr>
        <w:t>Álvarez</w:t>
      </w:r>
      <w:proofErr w:type="spellEnd"/>
      <w:r w:rsidR="004263DA" w:rsidRPr="005B0A67">
        <w:rPr>
          <w:rFonts w:ascii="Garamond" w:eastAsia="Times New Roman" w:hAnsi="Garamond" w:cs="Courier New"/>
          <w:color w:val="000000"/>
          <w:sz w:val="24"/>
          <w:szCs w:val="24"/>
          <w:lang w:eastAsia="en-US"/>
        </w:rPr>
        <w:t>, Kirk Lawre</w:t>
      </w:r>
      <w:r w:rsidRPr="005B0A67">
        <w:rPr>
          <w:rFonts w:ascii="Garamond" w:eastAsia="Times New Roman" w:hAnsi="Garamond" w:cs="Courier New"/>
          <w:color w:val="000000"/>
          <w:sz w:val="24"/>
          <w:szCs w:val="24"/>
          <w:lang w:eastAsia="en-US"/>
        </w:rPr>
        <w:t xml:space="preserve">nce and Christopher Chase-Dunn. </w:t>
      </w:r>
      <w:r w:rsidR="004263DA" w:rsidRPr="005B0A67">
        <w:rPr>
          <w:rFonts w:ascii="Garamond" w:eastAsia="Times New Roman" w:hAnsi="Garamond" w:cs="Courier New"/>
          <w:color w:val="000000"/>
          <w:sz w:val="24"/>
          <w:szCs w:val="24"/>
          <w:lang w:eastAsia="en-US"/>
        </w:rPr>
        <w:t xml:space="preserve">2015 “Urban scale shifts since the </w:t>
      </w:r>
      <w:r w:rsidR="002C2C02" w:rsidRPr="005B0A67">
        <w:rPr>
          <w:rFonts w:ascii="Garamond" w:eastAsia="Times New Roman" w:hAnsi="Garamond" w:cs="Courier New"/>
          <w:color w:val="000000"/>
          <w:sz w:val="24"/>
          <w:szCs w:val="24"/>
          <w:lang w:eastAsia="en-US"/>
        </w:rPr>
        <w:t>Bronze Age</w:t>
      </w:r>
      <w:r w:rsidR="004263DA" w:rsidRPr="005B0A67">
        <w:rPr>
          <w:rFonts w:ascii="Garamond" w:eastAsia="Times New Roman" w:hAnsi="Garamond" w:cs="Courier New"/>
          <w:color w:val="000000"/>
          <w:sz w:val="24"/>
          <w:szCs w:val="24"/>
          <w:lang w:eastAsia="en-US"/>
        </w:rPr>
        <w:t xml:space="preserve">: upsweeps, collapses and semiperipheral development” </w:t>
      </w:r>
      <w:r w:rsidR="004263DA" w:rsidRPr="005B0A67">
        <w:rPr>
          <w:rFonts w:ascii="Garamond" w:eastAsia="Times New Roman" w:hAnsi="Garamond" w:cs="Courier New"/>
          <w:i/>
          <w:iCs/>
          <w:color w:val="000000"/>
          <w:sz w:val="24"/>
          <w:szCs w:val="24"/>
          <w:lang w:eastAsia="en-US"/>
        </w:rPr>
        <w:t>Social Science History</w:t>
      </w:r>
      <w:r w:rsidRPr="005B0A67">
        <w:rPr>
          <w:rFonts w:ascii="Garamond" w:eastAsia="Times New Roman" w:hAnsi="Garamond" w:cs="Courier New"/>
          <w:i/>
          <w:iCs/>
          <w:color w:val="000000"/>
          <w:sz w:val="24"/>
          <w:szCs w:val="24"/>
          <w:lang w:eastAsia="en-US"/>
        </w:rPr>
        <w:t xml:space="preserve">. </w:t>
      </w:r>
      <w:r w:rsidR="004263DA" w:rsidRPr="005B0A67">
        <w:rPr>
          <w:rFonts w:ascii="Garamond" w:eastAsia="Times New Roman" w:hAnsi="Garamond" w:cs="Courier New"/>
          <w:color w:val="000000"/>
          <w:sz w:val="24"/>
          <w:szCs w:val="24"/>
          <w:lang w:eastAsia="en-US"/>
        </w:rPr>
        <w:t xml:space="preserve">Volume 39 number 2, Summer </w:t>
      </w:r>
      <w:hyperlink r:id="rId35" w:history="1">
        <w:r w:rsidR="004D4D1F" w:rsidRPr="005B0A67">
          <w:rPr>
            <w:rStyle w:val="Hyperlink"/>
            <w:rFonts w:ascii="Garamond" w:eastAsia="Times New Roman" w:hAnsi="Garamond" w:cs="Courier New"/>
            <w:sz w:val="24"/>
            <w:szCs w:val="24"/>
            <w:lang w:eastAsia="en-US"/>
          </w:rPr>
          <w:t>http://irows.ucr.edu/papers/irows89/irows89.htm</w:t>
        </w:r>
      </w:hyperlink>
    </w:p>
    <w:p w:rsidR="007C7F9B" w:rsidRPr="005B0A67" w:rsidRDefault="007C7F9B" w:rsidP="007C7F9B">
      <w:pPr>
        <w:jc w:val="both"/>
        <w:rPr>
          <w:rFonts w:ascii="Garamond" w:eastAsia="Times New Roman" w:hAnsi="Garamond" w:cs="Times New Roman"/>
          <w:color w:val="000000"/>
          <w:sz w:val="24"/>
          <w:szCs w:val="24"/>
          <w:lang w:eastAsia="en-US"/>
        </w:rPr>
      </w:pPr>
      <w:r w:rsidRPr="005B0A67">
        <w:rPr>
          <w:rFonts w:ascii="Garamond" w:hAnsi="Garamond" w:cs="Garamond"/>
          <w:sz w:val="24"/>
          <w:szCs w:val="24"/>
        </w:rPr>
        <w:t xml:space="preserve">____________ ,  </w:t>
      </w:r>
      <w:r w:rsidRPr="005B0A67">
        <w:rPr>
          <w:rFonts w:ascii="Garamond" w:eastAsia="Times New Roman" w:hAnsi="Garamond" w:cs="Times New Roman"/>
          <w:color w:val="000000"/>
          <w:sz w:val="24"/>
          <w:szCs w:val="24"/>
          <w:lang w:eastAsia="en-US"/>
        </w:rPr>
        <w:t>Alexis </w:t>
      </w:r>
      <w:proofErr w:type="spellStart"/>
      <w:r w:rsidRPr="005B0A67">
        <w:rPr>
          <w:rFonts w:ascii="Garamond" w:eastAsia="Times New Roman" w:hAnsi="Garamond" w:cs="Times New Roman"/>
          <w:color w:val="000000"/>
          <w:sz w:val="24"/>
          <w:szCs w:val="24"/>
          <w:lang w:eastAsia="en-US"/>
        </w:rPr>
        <w:t>Álvarez</w:t>
      </w:r>
      <w:proofErr w:type="spellEnd"/>
      <w:r w:rsidRPr="005B0A67">
        <w:rPr>
          <w:rFonts w:ascii="Garamond" w:eastAsia="Times New Roman" w:hAnsi="Garamond" w:cs="Times New Roman"/>
          <w:color w:val="000000"/>
          <w:sz w:val="24"/>
          <w:szCs w:val="24"/>
          <w:lang w:eastAsia="en-US"/>
        </w:rPr>
        <w:t>, E.N. Anderson, Kirk Lawrence, Teresa Neal, </w:t>
      </w:r>
      <w:proofErr w:type="spellStart"/>
      <w:r w:rsidRPr="005B0A67">
        <w:rPr>
          <w:rFonts w:ascii="Garamond" w:eastAsia="Times New Roman" w:hAnsi="Garamond" w:cs="Times New Roman"/>
          <w:color w:val="000000"/>
          <w:sz w:val="24"/>
          <w:szCs w:val="24"/>
          <w:lang w:eastAsia="en-US"/>
        </w:rPr>
        <w:t>Dmytro</w:t>
      </w:r>
      <w:proofErr w:type="spellEnd"/>
      <w:r w:rsidRPr="005B0A67">
        <w:rPr>
          <w:rFonts w:ascii="Garamond" w:eastAsia="Times New Roman" w:hAnsi="Garamond" w:cs="Times New Roman"/>
          <w:color w:val="000000"/>
          <w:sz w:val="24"/>
          <w:szCs w:val="24"/>
          <w:lang w:eastAsia="en-US"/>
        </w:rPr>
        <w:t> </w:t>
      </w:r>
      <w:proofErr w:type="spellStart"/>
      <w:r w:rsidRPr="005B0A67">
        <w:rPr>
          <w:rFonts w:ascii="Garamond" w:eastAsia="Times New Roman" w:hAnsi="Garamond" w:cs="Times New Roman"/>
          <w:color w:val="000000"/>
          <w:sz w:val="24"/>
          <w:szCs w:val="24"/>
          <w:lang w:eastAsia="en-US"/>
        </w:rPr>
        <w:t>Khutkyy</w:t>
      </w:r>
      <w:proofErr w:type="spellEnd"/>
      <w:r w:rsidRPr="005B0A67">
        <w:rPr>
          <w:rFonts w:ascii="Garamond" w:eastAsia="Times New Roman" w:hAnsi="Garamond" w:cs="Times New Roman"/>
          <w:color w:val="000000"/>
          <w:sz w:val="24"/>
          <w:szCs w:val="24"/>
          <w:lang w:eastAsia="en-US"/>
        </w:rPr>
        <w:t>,</w:t>
      </w:r>
    </w:p>
    <w:p w:rsidR="007C7F9B" w:rsidRPr="005B0A67" w:rsidRDefault="007C7F9B" w:rsidP="007C7F9B">
      <w:pPr>
        <w:ind w:left="720"/>
        <w:jc w:val="both"/>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Sandor Nagy, Walter De</w:t>
      </w:r>
      <w:r w:rsidR="0009595A">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Winter and Christopher Chase-Dunn </w:t>
      </w:r>
      <w:r w:rsidRPr="005B0A67">
        <w:rPr>
          <w:rFonts w:ascii="Garamond" w:hAnsi="Garamond" w:cs="Garamond"/>
          <w:sz w:val="24"/>
          <w:szCs w:val="24"/>
        </w:rPr>
        <w:t>2016 “</w:t>
      </w:r>
      <w:hyperlink r:id="rId36" w:history="1">
        <w:r w:rsidRPr="005B0A67">
          <w:rPr>
            <w:rStyle w:val="Hyperlink"/>
            <w:rFonts w:ascii="Garamond" w:eastAsia="Times New Roman" w:hAnsi="Garamond" w:cs="Times New Roman"/>
            <w:sz w:val="24"/>
            <w:szCs w:val="24"/>
            <w:lang w:eastAsia="en-US"/>
          </w:rPr>
          <w:t>Comparing World-Systems: Empire Upsweeps and Non-core marcher states Since the Bronze Age’</w:t>
        </w:r>
      </w:hyperlink>
      <w:r w:rsidRPr="005B0A67">
        <w:rPr>
          <w:rFonts w:ascii="Garamond" w:eastAsia="Times New Roman" w:hAnsi="Garamond" w:cs="Times New Roman"/>
          <w:color w:val="7030A0"/>
          <w:sz w:val="24"/>
          <w:szCs w:val="24"/>
          <w:lang w:eastAsia="en-US"/>
        </w:rPr>
        <w:t xml:space="preserve"> IROWS Working Paper #56</w:t>
      </w:r>
    </w:p>
    <w:p w:rsidR="00047CFD" w:rsidRPr="005B0A67" w:rsidRDefault="00047CFD" w:rsidP="0069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rPr>
          <w:rFonts w:ascii="Garamond" w:eastAsia="Times New Roman" w:hAnsi="Garamond" w:cs="Courier New"/>
          <w:color w:val="000000"/>
          <w:sz w:val="24"/>
          <w:szCs w:val="24"/>
          <w:lang w:eastAsia="en-US"/>
        </w:rPr>
      </w:pPr>
      <w:proofErr w:type="spellStart"/>
      <w:r w:rsidRPr="005B0A67">
        <w:rPr>
          <w:rFonts w:ascii="Garamond" w:hAnsi="Garamond" w:cs="Garamond"/>
          <w:sz w:val="24"/>
          <w:szCs w:val="24"/>
        </w:rPr>
        <w:t>Korotayev</w:t>
      </w:r>
      <w:proofErr w:type="spellEnd"/>
      <w:r w:rsidRPr="005B0A67">
        <w:rPr>
          <w:rFonts w:ascii="Garamond" w:hAnsi="Garamond" w:cs="Garamond"/>
          <w:sz w:val="24"/>
          <w:szCs w:val="24"/>
        </w:rPr>
        <w:t xml:space="preserve">, Andrey, Goldstone, Jack A., </w:t>
      </w:r>
      <w:proofErr w:type="spellStart"/>
      <w:r w:rsidRPr="005B0A67">
        <w:rPr>
          <w:rFonts w:ascii="Garamond" w:hAnsi="Garamond" w:cs="Garamond"/>
          <w:sz w:val="24"/>
          <w:szCs w:val="24"/>
        </w:rPr>
        <w:t>Zinkina</w:t>
      </w:r>
      <w:proofErr w:type="spellEnd"/>
      <w:r w:rsidRPr="005B0A67">
        <w:rPr>
          <w:rFonts w:ascii="Garamond" w:hAnsi="Garamond" w:cs="Garamond"/>
          <w:sz w:val="24"/>
          <w:szCs w:val="24"/>
        </w:rPr>
        <w:t xml:space="preserve">, Julia, 2015. “Phases of global demographic transition correlate with phases of the Great Divergence and Great Convergence' </w:t>
      </w:r>
      <w:r w:rsidRPr="005B0A67">
        <w:rPr>
          <w:rFonts w:ascii="Garamond" w:hAnsi="Garamond" w:cs="Garamond"/>
          <w:i/>
          <w:iCs/>
          <w:sz w:val="24"/>
          <w:szCs w:val="24"/>
        </w:rPr>
        <w:t>Technological Forecasting &amp; Social Change</w:t>
      </w:r>
      <w:r w:rsidRPr="005B0A67">
        <w:rPr>
          <w:rFonts w:ascii="Garamond" w:hAnsi="Garamond" w:cs="Garamond"/>
          <w:sz w:val="24"/>
          <w:szCs w:val="24"/>
        </w:rPr>
        <w:t xml:space="preserve">  Retrieved March 20, 2015 from </w:t>
      </w:r>
      <w:hyperlink r:id="rId37" w:history="1">
        <w:r w:rsidRPr="005B0A67">
          <w:rPr>
            <w:rFonts w:ascii="Garamond" w:hAnsi="Garamond" w:cs="Garamond"/>
            <w:color w:val="0000FF"/>
            <w:sz w:val="24"/>
            <w:szCs w:val="24"/>
            <w:u w:val="single"/>
          </w:rPr>
          <w:t>http://www.sciencedirect.com/science/article/pii/S0040162515000244</w:t>
        </w:r>
      </w:hyperlink>
    </w:p>
    <w:p w:rsidR="004263DA" w:rsidRPr="005B0A67" w:rsidRDefault="004263DA" w:rsidP="00696473">
      <w:pPr>
        <w:keepNext/>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Kowalewski</w:t>
      </w:r>
      <w:proofErr w:type="spellEnd"/>
      <w:r w:rsidRPr="005B0A67">
        <w:rPr>
          <w:rFonts w:ascii="Garamond" w:eastAsia="Times New Roman" w:hAnsi="Garamond" w:cs="Times New Roman"/>
          <w:color w:val="000000"/>
          <w:sz w:val="24"/>
          <w:szCs w:val="24"/>
          <w:lang w:eastAsia="en-US"/>
        </w:rPr>
        <w:t>, Stephen A. 1982 "The evolution of primate regional systems" </w:t>
      </w:r>
      <w:r w:rsidRPr="005B0A67">
        <w:rPr>
          <w:rFonts w:ascii="Garamond" w:eastAsia="Times New Roman" w:hAnsi="Garamond" w:cs="Times New Roman"/>
          <w:i/>
          <w:iCs/>
          <w:color w:val="000000"/>
          <w:sz w:val="24"/>
          <w:szCs w:val="24"/>
          <w:lang w:eastAsia="en-US"/>
        </w:rPr>
        <w:t>Comparative Urban</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i/>
          <w:iCs/>
          <w:color w:val="000000"/>
          <w:sz w:val="24"/>
          <w:szCs w:val="24"/>
          <w:lang w:eastAsia="en-US"/>
        </w:rPr>
        <w:t>Research</w:t>
      </w:r>
      <w:r w:rsidRPr="005B0A67">
        <w:rPr>
          <w:rFonts w:ascii="Garamond" w:eastAsia="Times New Roman" w:hAnsi="Garamond" w:cs="Times New Roman"/>
          <w:color w:val="000000"/>
          <w:sz w:val="24"/>
          <w:szCs w:val="24"/>
          <w:lang w:eastAsia="en-US"/>
        </w:rPr>
        <w:t> 9,1:60-78.</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Lattimore, Owen 1940</w:t>
      </w:r>
      <w:r w:rsidRPr="005B0A67">
        <w:rPr>
          <w:rFonts w:ascii="Garamond" w:eastAsia="Times New Roman" w:hAnsi="Garamond" w:cs="Times New Roman"/>
          <w:i/>
          <w:iCs/>
          <w:color w:val="000000"/>
          <w:sz w:val="24"/>
          <w:szCs w:val="24"/>
          <w:lang w:eastAsia="en-US"/>
        </w:rPr>
        <w:t> Inner Asian Frontiers of China</w:t>
      </w:r>
      <w:r w:rsidRPr="005B0A67">
        <w:rPr>
          <w:rFonts w:ascii="Garamond" w:eastAsia="Times New Roman" w:hAnsi="Garamond" w:cs="Times New Roman"/>
          <w:color w:val="000000"/>
          <w:sz w:val="24"/>
          <w:szCs w:val="24"/>
          <w:lang w:eastAsia="en-US"/>
        </w:rPr>
        <w:t>. New York: American Geographical</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Society.</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Lassner</w:t>
      </w:r>
      <w:proofErr w:type="spellEnd"/>
      <w:r w:rsidRPr="005B0A67">
        <w:rPr>
          <w:rFonts w:ascii="Garamond" w:eastAsia="Times New Roman" w:hAnsi="Garamond" w:cs="Times New Roman"/>
          <w:color w:val="000000"/>
          <w:sz w:val="24"/>
          <w:szCs w:val="24"/>
          <w:lang w:eastAsia="en-US"/>
        </w:rPr>
        <w:t>, Jacob 1970 </w:t>
      </w:r>
      <w:r w:rsidRPr="005B0A67">
        <w:rPr>
          <w:rFonts w:ascii="Garamond" w:eastAsia="Times New Roman" w:hAnsi="Garamond" w:cs="Times New Roman"/>
          <w:i/>
          <w:iCs/>
          <w:color w:val="000000"/>
          <w:sz w:val="24"/>
          <w:szCs w:val="24"/>
          <w:lang w:eastAsia="en-US"/>
        </w:rPr>
        <w:t xml:space="preserve">The Topography of </w:t>
      </w:r>
      <w:r w:rsidR="0036146F" w:rsidRPr="005B0A67">
        <w:rPr>
          <w:rFonts w:ascii="Garamond" w:eastAsia="Times New Roman" w:hAnsi="Garamond" w:cs="Times New Roman"/>
          <w:i/>
          <w:iCs/>
          <w:color w:val="000000"/>
          <w:sz w:val="24"/>
          <w:szCs w:val="24"/>
          <w:lang w:eastAsia="en-US"/>
        </w:rPr>
        <w:t>Baghdad</w:t>
      </w:r>
      <w:r w:rsidR="0036146F" w:rsidRPr="005B0A67">
        <w:rPr>
          <w:rFonts w:ascii="Garamond" w:eastAsia="Times New Roman" w:hAnsi="Garamond" w:cs="Times New Roman"/>
          <w:color w:val="000000"/>
          <w:sz w:val="24"/>
          <w:szCs w:val="24"/>
          <w:lang w:eastAsia="en-US"/>
        </w:rPr>
        <w:t> Detroit</w:t>
      </w:r>
      <w:r w:rsidRPr="005B0A67">
        <w:rPr>
          <w:rFonts w:ascii="Garamond" w:eastAsia="Times New Roman" w:hAnsi="Garamond" w:cs="Times New Roman"/>
          <w:color w:val="000000"/>
          <w:sz w:val="24"/>
          <w:szCs w:val="24"/>
          <w:lang w:eastAsia="en-US"/>
        </w:rPr>
        <w:t>: Wayne State University Press.</w:t>
      </w:r>
      <w:r w:rsidR="00696473" w:rsidRPr="005B0A67">
        <w:rPr>
          <w:rFonts w:ascii="Garamond" w:eastAsia="Times New Roman" w:hAnsi="Garamond" w:cs="Times New Roman"/>
          <w:color w:val="000000"/>
          <w:sz w:val="24"/>
          <w:szCs w:val="24"/>
          <w:lang w:eastAsia="en-US"/>
        </w:rPr>
        <w:t xml:space="preserve"> </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Lenski</w:t>
      </w:r>
      <w:proofErr w:type="spellEnd"/>
      <w:r w:rsidRPr="005B0A67">
        <w:rPr>
          <w:rFonts w:ascii="Garamond" w:eastAsia="Times New Roman" w:hAnsi="Garamond" w:cs="Times New Roman"/>
          <w:color w:val="000000"/>
          <w:sz w:val="24"/>
          <w:szCs w:val="24"/>
          <w:lang w:eastAsia="en-US"/>
        </w:rPr>
        <w:t>, Gerhard 2005 </w:t>
      </w:r>
      <w:r w:rsidRPr="005B0A67">
        <w:rPr>
          <w:rFonts w:ascii="Garamond" w:eastAsia="Times New Roman" w:hAnsi="Garamond" w:cs="Times New Roman"/>
          <w:i/>
          <w:iCs/>
          <w:color w:val="000000"/>
          <w:sz w:val="24"/>
          <w:szCs w:val="24"/>
          <w:lang w:eastAsia="en-US"/>
        </w:rPr>
        <w:t>Ecological-Evolutionary Theory.</w:t>
      </w:r>
      <w:r w:rsidRPr="005B0A67">
        <w:rPr>
          <w:rFonts w:ascii="Garamond" w:eastAsia="Times New Roman" w:hAnsi="Garamond" w:cs="Times New Roman"/>
          <w:color w:val="000000"/>
          <w:sz w:val="24"/>
          <w:szCs w:val="24"/>
          <w:lang w:eastAsia="en-US"/>
        </w:rPr>
        <w:t> Boulder, CO: Paradigm Publishers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Lieberman, Victor.  2003.  </w:t>
      </w:r>
      <w:r w:rsidRPr="005B0A67">
        <w:rPr>
          <w:rFonts w:ascii="Garamond" w:eastAsia="Times New Roman" w:hAnsi="Garamond" w:cs="Times New Roman"/>
          <w:i/>
          <w:iCs/>
          <w:color w:val="000000"/>
          <w:sz w:val="24"/>
          <w:szCs w:val="24"/>
          <w:lang w:eastAsia="en-US"/>
        </w:rPr>
        <w:t>Strange Parallels:  Southeast Asia in Global Context, c. 800-1830</w:t>
      </w:r>
      <w:r w:rsidR="00696473" w:rsidRPr="005B0A67">
        <w:rPr>
          <w:rFonts w:ascii="Garamond" w:eastAsia="Times New Roman" w:hAnsi="Garamond" w:cs="Times New Roman"/>
          <w:color w:val="000000"/>
          <w:sz w:val="24"/>
          <w:szCs w:val="24"/>
          <w:lang w:eastAsia="en-US"/>
        </w:rPr>
        <w:t xml:space="preserve">.  Vol. </w:t>
      </w:r>
      <w:r w:rsidRPr="005B0A67">
        <w:rPr>
          <w:rFonts w:ascii="Garamond" w:eastAsia="Times New Roman" w:hAnsi="Garamond" w:cs="Times New Roman"/>
          <w:color w:val="000000"/>
          <w:sz w:val="24"/>
          <w:szCs w:val="24"/>
          <w:lang w:eastAsia="en-US"/>
        </w:rPr>
        <w:t>1: Integration on the Mainland.  Cambridge:  Cambridge University Press.</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 xml:space="preserve"> 2009.  </w:t>
      </w:r>
      <w:r w:rsidR="004263DA" w:rsidRPr="005B0A67">
        <w:rPr>
          <w:rFonts w:ascii="Garamond" w:eastAsia="Times New Roman" w:hAnsi="Garamond" w:cs="Times New Roman"/>
          <w:i/>
          <w:iCs/>
          <w:color w:val="000000"/>
          <w:sz w:val="24"/>
          <w:szCs w:val="24"/>
          <w:lang w:eastAsia="en-US"/>
        </w:rPr>
        <w:t>Strange Parallels:  Southeast Asia in Global Context, c. 800-1830</w:t>
      </w:r>
      <w:r w:rsidR="004263DA" w:rsidRPr="005B0A67">
        <w:rPr>
          <w:rFonts w:ascii="Garamond" w:eastAsia="Times New Roman" w:hAnsi="Garamond" w:cs="Times New Roman"/>
          <w:color w:val="000000"/>
          <w:sz w:val="24"/>
          <w:szCs w:val="24"/>
          <w:lang w:eastAsia="en-US"/>
        </w:rPr>
        <w:t>.  Vol 2:</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Mainland Mirrors: Europe, Japan, China, South Asia, and the Islands.  Cambridge:</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Cambridge University 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Liu, </w:t>
      </w:r>
      <w:proofErr w:type="spellStart"/>
      <w:r w:rsidRPr="005B0A67">
        <w:rPr>
          <w:rFonts w:ascii="Garamond" w:eastAsia="Times New Roman" w:hAnsi="Garamond" w:cs="Times New Roman"/>
          <w:color w:val="000000"/>
          <w:sz w:val="24"/>
          <w:szCs w:val="24"/>
          <w:lang w:eastAsia="en-US"/>
        </w:rPr>
        <w:t>Xinru</w:t>
      </w:r>
      <w:proofErr w:type="spellEnd"/>
      <w:r w:rsidRPr="005B0A67">
        <w:rPr>
          <w:rFonts w:ascii="Garamond" w:eastAsia="Times New Roman" w:hAnsi="Garamond" w:cs="Times New Roman"/>
          <w:color w:val="000000"/>
          <w:sz w:val="24"/>
          <w:szCs w:val="24"/>
          <w:lang w:eastAsia="en-US"/>
        </w:rPr>
        <w:t> and Lynda </w:t>
      </w:r>
      <w:proofErr w:type="spellStart"/>
      <w:r w:rsidRPr="005B0A67">
        <w:rPr>
          <w:rFonts w:ascii="Garamond" w:eastAsia="Times New Roman" w:hAnsi="Garamond" w:cs="Times New Roman"/>
          <w:color w:val="000000"/>
          <w:sz w:val="24"/>
          <w:szCs w:val="24"/>
          <w:lang w:eastAsia="en-US"/>
        </w:rPr>
        <w:t>Norene</w:t>
      </w:r>
      <w:proofErr w:type="spellEnd"/>
      <w:r w:rsidRPr="005B0A67">
        <w:rPr>
          <w:rFonts w:ascii="Garamond" w:eastAsia="Times New Roman" w:hAnsi="Garamond" w:cs="Times New Roman"/>
          <w:color w:val="000000"/>
          <w:sz w:val="24"/>
          <w:szCs w:val="24"/>
          <w:lang w:eastAsia="en-US"/>
        </w:rPr>
        <w:t> Shaffer. 2007. </w:t>
      </w:r>
      <w:r w:rsidRPr="005B0A67">
        <w:rPr>
          <w:rFonts w:ascii="Garamond" w:eastAsia="Times New Roman" w:hAnsi="Garamond" w:cs="Times New Roman"/>
          <w:i/>
          <w:iCs/>
          <w:color w:val="000000"/>
          <w:sz w:val="24"/>
          <w:szCs w:val="24"/>
          <w:lang w:eastAsia="en-US"/>
        </w:rPr>
        <w:t>Connections across Eurasia: Transportation,</w:t>
      </w:r>
      <w:r w:rsidR="00696473"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Communication, and Cultural Exchange on the Silk Roads</w:t>
      </w:r>
      <w:r w:rsidRPr="005B0A67">
        <w:rPr>
          <w:rFonts w:ascii="Garamond" w:eastAsia="Times New Roman" w:hAnsi="Garamond" w:cs="Times New Roman"/>
          <w:color w:val="000000"/>
          <w:sz w:val="24"/>
          <w:szCs w:val="24"/>
          <w:lang w:eastAsia="en-US"/>
        </w:rPr>
        <w:t>. New York: McGraw-Hill.</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Mann, Michael. 1986.  </w:t>
      </w:r>
      <w:r w:rsidRPr="005B0A67">
        <w:rPr>
          <w:rFonts w:ascii="Garamond" w:eastAsia="Times New Roman" w:hAnsi="Garamond" w:cs="Times New Roman"/>
          <w:i/>
          <w:iCs/>
          <w:color w:val="000000"/>
          <w:sz w:val="24"/>
          <w:szCs w:val="24"/>
          <w:lang w:eastAsia="en-US"/>
        </w:rPr>
        <w:t>The Sources of Social Power, Volume 1:  A history of power from the beginning</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i/>
          <w:iCs/>
          <w:color w:val="000000"/>
          <w:sz w:val="24"/>
          <w:szCs w:val="24"/>
          <w:lang w:eastAsia="en-US"/>
        </w:rPr>
        <w:t>to A.D. 1760</w:t>
      </w:r>
      <w:r w:rsidRPr="005B0A67">
        <w:rPr>
          <w:rFonts w:ascii="Garamond" w:eastAsia="Times New Roman" w:hAnsi="Garamond" w:cs="Times New Roman"/>
          <w:color w:val="000000"/>
          <w:sz w:val="24"/>
          <w:szCs w:val="24"/>
          <w:lang w:eastAsia="en-US"/>
        </w:rPr>
        <w:t>.  Cambridge:  Cambridge University Press.</w:t>
      </w:r>
      <w:r w:rsidR="00696473" w:rsidRPr="005B0A67">
        <w:rPr>
          <w:rFonts w:ascii="Garamond" w:eastAsia="Times New Roman" w:hAnsi="Garamond" w:cs="Times New Roman"/>
          <w:color w:val="000000"/>
          <w:sz w:val="24"/>
          <w:szCs w:val="24"/>
          <w:lang w:eastAsia="en-US"/>
        </w:rPr>
        <w:t xml:space="preserve"> </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McNeill, W H. 1982. </w:t>
      </w:r>
      <w:r w:rsidRPr="005B0A67">
        <w:rPr>
          <w:rFonts w:ascii="Garamond" w:eastAsia="Times New Roman" w:hAnsi="Garamond" w:cs="Times New Roman"/>
          <w:i/>
          <w:iCs/>
          <w:color w:val="000000"/>
          <w:sz w:val="24"/>
          <w:szCs w:val="24"/>
          <w:lang w:eastAsia="en-US"/>
        </w:rPr>
        <w:t>The Pursuit of Power: Technology, Armed Force, and Society since A.D. 1000</w:t>
      </w:r>
      <w:r w:rsidRPr="005B0A67">
        <w:rPr>
          <w:rFonts w:ascii="Garamond" w:eastAsia="Times New Roman" w:hAnsi="Garamond" w:cs="Times New Roman"/>
          <w:color w:val="000000"/>
          <w:sz w:val="24"/>
          <w:szCs w:val="24"/>
          <w:lang w:eastAsia="en-US"/>
        </w:rPr>
        <w:t>. Chicago, IL: The University of Chicago Press.</w:t>
      </w:r>
    </w:p>
    <w:p w:rsidR="004263DA" w:rsidRPr="005B0A67" w:rsidRDefault="004263DA" w:rsidP="002C2C02">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McNeill, John R. and William H. McNeill 2003 </w:t>
      </w:r>
      <w:r w:rsidRPr="005B0A67">
        <w:rPr>
          <w:rFonts w:ascii="Garamond" w:eastAsia="Times New Roman" w:hAnsi="Garamond" w:cs="Times New Roman"/>
          <w:i/>
          <w:iCs/>
          <w:color w:val="000000"/>
          <w:sz w:val="24"/>
          <w:szCs w:val="24"/>
          <w:lang w:eastAsia="en-US"/>
        </w:rPr>
        <w:t>The Human Web</w:t>
      </w:r>
      <w:r w:rsidRPr="005B0A67">
        <w:rPr>
          <w:rFonts w:ascii="Garamond" w:eastAsia="Times New Roman" w:hAnsi="Garamond" w:cs="Times New Roman"/>
          <w:color w:val="000000"/>
          <w:sz w:val="24"/>
          <w:szCs w:val="24"/>
          <w:lang w:eastAsia="en-US"/>
        </w:rPr>
        <w:t>. New York: Norton.</w:t>
      </w:r>
    </w:p>
    <w:p w:rsidR="004263DA" w:rsidRPr="005B0A67" w:rsidRDefault="004263DA" w:rsidP="002C2C02">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Modelski</w:t>
      </w:r>
      <w:proofErr w:type="spellEnd"/>
      <w:r w:rsidRPr="005B0A67">
        <w:rPr>
          <w:rFonts w:ascii="Garamond" w:eastAsia="Times New Roman" w:hAnsi="Garamond" w:cs="Times New Roman"/>
          <w:color w:val="000000"/>
          <w:sz w:val="24"/>
          <w:szCs w:val="24"/>
          <w:lang w:eastAsia="en-US"/>
        </w:rPr>
        <w:t>, George 2003 </w:t>
      </w:r>
      <w:r w:rsidRPr="005B0A67">
        <w:rPr>
          <w:rFonts w:ascii="Garamond" w:eastAsia="Times New Roman" w:hAnsi="Garamond" w:cs="Times New Roman"/>
          <w:i/>
          <w:iCs/>
          <w:color w:val="000000"/>
          <w:sz w:val="24"/>
          <w:szCs w:val="24"/>
          <w:lang w:eastAsia="en-US"/>
        </w:rPr>
        <w:t>World Cities: –3000 to 2000</w:t>
      </w:r>
      <w:r w:rsidRPr="005B0A67">
        <w:rPr>
          <w:rFonts w:ascii="Garamond" w:eastAsia="Times New Roman" w:hAnsi="Garamond" w:cs="Times New Roman"/>
          <w:color w:val="000000"/>
          <w:sz w:val="24"/>
          <w:szCs w:val="24"/>
          <w:lang w:eastAsia="en-US"/>
        </w:rPr>
        <w:t>. Washington, DC:  Faros 2000</w:t>
      </w:r>
    </w:p>
    <w:p w:rsidR="004263DA" w:rsidRPr="005B0A67" w:rsidRDefault="004D0421" w:rsidP="002C2C02">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proofErr w:type="spellStart"/>
      <w:r w:rsidR="004263DA" w:rsidRPr="005B0A67">
        <w:rPr>
          <w:rFonts w:ascii="Garamond" w:eastAsia="Times New Roman" w:hAnsi="Garamond" w:cs="Times New Roman"/>
          <w:color w:val="000000"/>
          <w:sz w:val="24"/>
          <w:szCs w:val="24"/>
          <w:lang w:eastAsia="en-US"/>
        </w:rPr>
        <w:t>Tessaleno</w:t>
      </w:r>
      <w:proofErr w:type="spellEnd"/>
      <w:r w:rsidR="004263DA" w:rsidRPr="005B0A67">
        <w:rPr>
          <w:rFonts w:ascii="Garamond" w:eastAsia="Times New Roman" w:hAnsi="Garamond" w:cs="Times New Roman"/>
          <w:color w:val="000000"/>
          <w:sz w:val="24"/>
          <w:szCs w:val="24"/>
          <w:lang w:eastAsia="en-US"/>
        </w:rPr>
        <w:t> </w:t>
      </w:r>
      <w:proofErr w:type="spellStart"/>
      <w:r w:rsidR="004263DA" w:rsidRPr="005B0A67">
        <w:rPr>
          <w:rFonts w:ascii="Garamond" w:eastAsia="Times New Roman" w:hAnsi="Garamond" w:cs="Times New Roman"/>
          <w:color w:val="000000"/>
          <w:sz w:val="24"/>
          <w:szCs w:val="24"/>
          <w:lang w:eastAsia="en-US"/>
        </w:rPr>
        <w:t>Devezas</w:t>
      </w:r>
      <w:proofErr w:type="spellEnd"/>
      <w:r w:rsidR="004263DA" w:rsidRPr="005B0A67">
        <w:rPr>
          <w:rFonts w:ascii="Garamond" w:eastAsia="Times New Roman" w:hAnsi="Garamond" w:cs="Times New Roman"/>
          <w:color w:val="000000"/>
          <w:sz w:val="24"/>
          <w:szCs w:val="24"/>
          <w:lang w:eastAsia="en-US"/>
        </w:rPr>
        <w:t> and William R. Thompson (eds.) 2008 </w:t>
      </w:r>
      <w:r w:rsidR="004263DA" w:rsidRPr="005B0A67">
        <w:rPr>
          <w:rFonts w:ascii="Garamond" w:eastAsia="Times New Roman" w:hAnsi="Garamond" w:cs="Times New Roman"/>
          <w:i/>
          <w:iCs/>
          <w:color w:val="000000"/>
          <w:sz w:val="24"/>
          <w:szCs w:val="24"/>
          <w:lang w:eastAsia="en-US"/>
        </w:rPr>
        <w:t>Globalization as</w:t>
      </w:r>
      <w:r w:rsidR="00696473" w:rsidRPr="005B0A67">
        <w:rPr>
          <w:rFonts w:ascii="Garamond" w:eastAsia="Times New Roman" w:hAnsi="Garamond" w:cs="Times New Roman"/>
          <w:color w:val="000000"/>
          <w:sz w:val="24"/>
          <w:szCs w:val="24"/>
          <w:lang w:eastAsia="en-US"/>
        </w:rPr>
        <w:t xml:space="preserve"> </w:t>
      </w:r>
      <w:proofErr w:type="spellStart"/>
      <w:r w:rsidR="004263DA" w:rsidRPr="005B0A67">
        <w:rPr>
          <w:rFonts w:ascii="Garamond" w:eastAsia="Times New Roman" w:hAnsi="Garamond" w:cs="Times New Roman"/>
          <w:i/>
          <w:iCs/>
          <w:color w:val="000000"/>
          <w:sz w:val="24"/>
          <w:szCs w:val="24"/>
          <w:lang w:eastAsia="en-US"/>
        </w:rPr>
        <w:t>Ev</w:t>
      </w:r>
      <w:proofErr w:type="spellEnd"/>
      <w:r w:rsidR="00696473" w:rsidRPr="005B0A67">
        <w:rPr>
          <w:rFonts w:ascii="Garamond" w:eastAsia="Times New Roman" w:hAnsi="Garamond" w:cs="Times New Roman"/>
          <w:i/>
          <w:iCs/>
          <w:color w:val="000000"/>
          <w:sz w:val="24"/>
          <w:szCs w:val="24"/>
          <w:lang w:eastAsia="en-US"/>
        </w:rPr>
        <w:t xml:space="preserve">. </w:t>
      </w:r>
      <w:proofErr w:type="spellStart"/>
      <w:r w:rsidR="004263DA" w:rsidRPr="005B0A67">
        <w:rPr>
          <w:rFonts w:ascii="Garamond" w:eastAsia="Times New Roman" w:hAnsi="Garamond" w:cs="Times New Roman"/>
          <w:i/>
          <w:iCs/>
          <w:color w:val="000000"/>
          <w:sz w:val="24"/>
          <w:szCs w:val="24"/>
          <w:lang w:eastAsia="en-US"/>
        </w:rPr>
        <w:t>olutionary</w:t>
      </w:r>
      <w:proofErr w:type="spellEnd"/>
      <w:r w:rsidR="004263DA" w:rsidRPr="005B0A67">
        <w:rPr>
          <w:rFonts w:ascii="Garamond" w:eastAsia="Times New Roman" w:hAnsi="Garamond" w:cs="Times New Roman"/>
          <w:i/>
          <w:iCs/>
          <w:color w:val="000000"/>
          <w:sz w:val="24"/>
          <w:szCs w:val="24"/>
          <w:lang w:eastAsia="en-US"/>
        </w:rPr>
        <w:t xml:space="preserve"> Process: Modeling Global Change</w:t>
      </w:r>
      <w:r w:rsidR="004263DA" w:rsidRPr="005B0A67">
        <w:rPr>
          <w:rFonts w:ascii="Garamond" w:eastAsia="Times New Roman" w:hAnsi="Garamond" w:cs="Times New Roman"/>
          <w:color w:val="000000"/>
          <w:sz w:val="24"/>
          <w:szCs w:val="24"/>
          <w:lang w:eastAsia="en-US"/>
        </w:rPr>
        <w:t>. London: Routledge</w:t>
      </w:r>
    </w:p>
    <w:p w:rsidR="004263DA" w:rsidRPr="005B0A67" w:rsidRDefault="00784171" w:rsidP="002C2C02">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Morris, Ian. </w:t>
      </w:r>
      <w:r w:rsidR="004263DA" w:rsidRPr="005B0A67">
        <w:rPr>
          <w:rFonts w:ascii="Garamond" w:eastAsia="Times New Roman" w:hAnsi="Garamond" w:cs="Times New Roman"/>
          <w:color w:val="000000"/>
          <w:sz w:val="24"/>
          <w:szCs w:val="24"/>
          <w:lang w:eastAsia="en-US"/>
        </w:rPr>
        <w:t>2010 </w:t>
      </w:r>
      <w:r w:rsidR="004263DA" w:rsidRPr="005B0A67">
        <w:rPr>
          <w:rFonts w:ascii="Garamond" w:eastAsia="Times New Roman" w:hAnsi="Garamond" w:cs="Times New Roman"/>
          <w:i/>
          <w:iCs/>
          <w:color w:val="000000"/>
          <w:sz w:val="24"/>
          <w:szCs w:val="24"/>
          <w:lang w:eastAsia="en-US"/>
        </w:rPr>
        <w:t>Why the West Rules—For Now</w:t>
      </w:r>
      <w:r w:rsidR="004263DA" w:rsidRPr="005B0A67">
        <w:rPr>
          <w:rFonts w:ascii="Garamond" w:eastAsia="Times New Roman" w:hAnsi="Garamond" w:cs="Times New Roman"/>
          <w:color w:val="000000"/>
          <w:sz w:val="24"/>
          <w:szCs w:val="24"/>
          <w:lang w:eastAsia="en-US"/>
        </w:rPr>
        <w:t>.  New York:  Farrer, Straus and Giroux</w:t>
      </w:r>
    </w:p>
    <w:p w:rsidR="003239F9" w:rsidRPr="005B0A67" w:rsidRDefault="004D0421" w:rsidP="003239F9">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2013 </w:t>
      </w:r>
      <w:r w:rsidR="004263DA" w:rsidRPr="005B0A67">
        <w:rPr>
          <w:rFonts w:ascii="Garamond" w:eastAsia="Times New Roman" w:hAnsi="Garamond" w:cs="Times New Roman"/>
          <w:i/>
          <w:iCs/>
          <w:color w:val="000000"/>
          <w:sz w:val="24"/>
          <w:szCs w:val="24"/>
          <w:lang w:eastAsia="en-US"/>
        </w:rPr>
        <w:t>The Measure of Civilization. </w:t>
      </w:r>
      <w:r w:rsidR="004263DA" w:rsidRPr="005B0A67">
        <w:rPr>
          <w:rFonts w:ascii="Garamond" w:eastAsia="Times New Roman" w:hAnsi="Garamond" w:cs="Times New Roman"/>
          <w:color w:val="000000"/>
          <w:sz w:val="24"/>
          <w:szCs w:val="24"/>
          <w:lang w:eastAsia="en-US"/>
        </w:rPr>
        <w:t>Princeton, NJ: Princeton University Press.</w:t>
      </w:r>
      <w:r w:rsidR="003239F9" w:rsidRPr="005B0A67">
        <w:rPr>
          <w:rFonts w:ascii="Garamond" w:eastAsia="Times New Roman" w:hAnsi="Garamond" w:cs="Times New Roman"/>
          <w:color w:val="000000"/>
          <w:sz w:val="24"/>
          <w:szCs w:val="24"/>
          <w:lang w:eastAsia="en-US"/>
        </w:rPr>
        <w:t xml:space="preserve"> </w:t>
      </w:r>
      <w:hyperlink r:id="rId38" w:history="1">
        <w:r w:rsidR="003239F9" w:rsidRPr="005B0A67">
          <w:rPr>
            <w:rStyle w:val="Hyperlink"/>
            <w:rFonts w:ascii="Garamond" w:eastAsia="Times New Roman" w:hAnsi="Garamond" w:cs="Times New Roman"/>
            <w:sz w:val="24"/>
            <w:szCs w:val="24"/>
            <w:lang w:eastAsia="en-US"/>
          </w:rPr>
          <w:t>http://ianmorris.org/docs/social-development.pdf</w:t>
        </w:r>
      </w:hyperlink>
    </w:p>
    <w:p w:rsidR="004263DA" w:rsidRPr="005B0A67" w:rsidRDefault="004D0421" w:rsidP="00BD0C66">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and Walter </w:t>
      </w:r>
      <w:proofErr w:type="spellStart"/>
      <w:r w:rsidR="004263DA" w:rsidRPr="005B0A67">
        <w:rPr>
          <w:rFonts w:ascii="Garamond" w:eastAsia="Times New Roman" w:hAnsi="Garamond" w:cs="Times New Roman"/>
          <w:color w:val="000000"/>
          <w:sz w:val="24"/>
          <w:szCs w:val="24"/>
          <w:lang w:eastAsia="en-US"/>
        </w:rPr>
        <w:t>Scheidel</w:t>
      </w:r>
      <w:proofErr w:type="spellEnd"/>
      <w:r w:rsidR="004263DA" w:rsidRPr="005B0A67">
        <w:rPr>
          <w:rFonts w:ascii="Garamond" w:eastAsia="Times New Roman" w:hAnsi="Garamond" w:cs="Times New Roman"/>
          <w:color w:val="000000"/>
          <w:sz w:val="24"/>
          <w:szCs w:val="24"/>
          <w:lang w:eastAsia="en-US"/>
        </w:rPr>
        <w:t> (eds.) </w:t>
      </w:r>
      <w:r w:rsidR="004263DA" w:rsidRPr="005B0A67">
        <w:rPr>
          <w:rFonts w:ascii="Garamond" w:eastAsia="Times New Roman" w:hAnsi="Garamond" w:cs="Times New Roman"/>
          <w:i/>
          <w:iCs/>
          <w:color w:val="000000"/>
          <w:sz w:val="24"/>
          <w:szCs w:val="24"/>
          <w:lang w:eastAsia="en-US"/>
        </w:rPr>
        <w:t>The Dynamics of Ancient Empires: State Power from Assyria to</w:t>
      </w:r>
      <w:r w:rsidR="00BD0C66"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i/>
          <w:iCs/>
          <w:color w:val="000000"/>
          <w:sz w:val="24"/>
          <w:szCs w:val="24"/>
          <w:lang w:eastAsia="en-US"/>
        </w:rPr>
        <w:t>Byzantium.</w:t>
      </w:r>
      <w:r w:rsidR="004263DA" w:rsidRPr="005B0A67">
        <w:rPr>
          <w:rFonts w:ascii="Garamond" w:eastAsia="Times New Roman" w:hAnsi="Garamond" w:cs="Times New Roman"/>
          <w:color w:val="000000"/>
          <w:sz w:val="24"/>
          <w:szCs w:val="24"/>
          <w:lang w:eastAsia="en-US"/>
        </w:rPr>
        <w:t> New York: Oxford University 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Neal, Teresa 2013 “The Sas</w:t>
      </w:r>
      <w:r w:rsidR="003C537E" w:rsidRPr="005B0A67">
        <w:rPr>
          <w:rFonts w:ascii="Garamond" w:eastAsia="Times New Roman" w:hAnsi="Garamond" w:cs="Times New Roman"/>
          <w:color w:val="000000"/>
          <w:sz w:val="24"/>
          <w:szCs w:val="24"/>
          <w:lang w:eastAsia="en-US"/>
        </w:rPr>
        <w:t>anian empire and world-systems r</w:t>
      </w:r>
      <w:r w:rsidRPr="005B0A67">
        <w:rPr>
          <w:rFonts w:ascii="Garamond" w:eastAsia="Times New Roman" w:hAnsi="Garamond" w:cs="Times New Roman"/>
          <w:color w:val="000000"/>
          <w:sz w:val="24"/>
          <w:szCs w:val="24"/>
          <w:lang w:eastAsia="en-US"/>
        </w:rPr>
        <w:t>esearch” Working Paper,</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Department of History, University of California-Irvine</w:t>
      </w:r>
    </w:p>
    <w:p w:rsidR="004263DA" w:rsidRPr="005B0A67" w:rsidRDefault="0036146F" w:rsidP="00696473">
      <w:pPr>
        <w:ind w:left="720" w:hanging="720"/>
        <w:jc w:val="both"/>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333333"/>
          <w:sz w:val="24"/>
          <w:szCs w:val="24"/>
          <w:lang w:eastAsia="en-US"/>
        </w:rPr>
        <w:t>Pasciuti</w:t>
      </w:r>
      <w:proofErr w:type="spellEnd"/>
      <w:r w:rsidR="004263DA" w:rsidRPr="005B0A67">
        <w:rPr>
          <w:rFonts w:ascii="Garamond" w:eastAsia="Times New Roman" w:hAnsi="Garamond" w:cs="Times New Roman"/>
          <w:color w:val="333333"/>
          <w:sz w:val="24"/>
          <w:szCs w:val="24"/>
          <w:lang w:eastAsia="en-US"/>
        </w:rPr>
        <w:t>, Daniel 2002” </w:t>
      </w:r>
      <w:hyperlink r:id="rId39" w:history="1">
        <w:r w:rsidR="004263DA" w:rsidRPr="005B0A67">
          <w:rPr>
            <w:rFonts w:ascii="Garamond" w:eastAsia="Times New Roman" w:hAnsi="Garamond" w:cs="Times New Roman"/>
            <w:color w:val="800080"/>
            <w:sz w:val="24"/>
            <w:szCs w:val="24"/>
            <w:u w:val="single"/>
            <w:lang w:eastAsia="en-US"/>
          </w:rPr>
          <w:t>A measurement error model for Estimating the Population Sizes of Preindustrial Cities</w:t>
        </w:r>
      </w:hyperlink>
      <w:r w:rsidR="004263DA" w:rsidRPr="005B0A67">
        <w:rPr>
          <w:rFonts w:ascii="Garamond" w:eastAsia="Times New Roman" w:hAnsi="Garamond" w:cs="Times New Roman"/>
          <w:color w:val="000000"/>
          <w:sz w:val="24"/>
          <w:szCs w:val="24"/>
          <w:lang w:eastAsia="en-US"/>
        </w:rPr>
        <w:t>”</w:t>
      </w:r>
    </w:p>
    <w:p w:rsidR="004263DA" w:rsidRPr="005B0A67" w:rsidRDefault="004263DA" w:rsidP="0036146F">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lastRenderedPageBreak/>
        <w:t>Pasciuti</w:t>
      </w:r>
      <w:proofErr w:type="spellEnd"/>
      <w:r w:rsidRPr="005B0A67">
        <w:rPr>
          <w:rFonts w:ascii="Garamond" w:eastAsia="Times New Roman" w:hAnsi="Garamond" w:cs="Times New Roman"/>
          <w:color w:val="000000"/>
          <w:sz w:val="24"/>
          <w:szCs w:val="24"/>
          <w:lang w:eastAsia="en-US"/>
        </w:rPr>
        <w:t>, Daniel and Christopher Chase-Dunn 2002 “Estimating the Population Sizes of</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Cities” </w:t>
      </w:r>
      <w:hyperlink r:id="rId40" w:history="1">
        <w:r w:rsidRPr="005B0A67">
          <w:rPr>
            <w:rFonts w:ascii="Garamond" w:eastAsia="Times New Roman" w:hAnsi="Garamond" w:cs="Times New Roman"/>
            <w:color w:val="800080"/>
            <w:sz w:val="24"/>
            <w:szCs w:val="24"/>
            <w:u w:val="single"/>
            <w:lang w:eastAsia="en-US"/>
          </w:rPr>
          <w:t>http://irows.ucr.edu/research/citemp/estcit/estcit.htm</w:t>
        </w:r>
      </w:hyperlink>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Pomeranz</w:t>
      </w:r>
      <w:proofErr w:type="spellEnd"/>
      <w:r w:rsidRPr="005B0A67">
        <w:rPr>
          <w:rFonts w:ascii="Garamond" w:eastAsia="Times New Roman" w:hAnsi="Garamond" w:cs="Times New Roman"/>
          <w:color w:val="000000"/>
          <w:sz w:val="24"/>
          <w:szCs w:val="24"/>
          <w:lang w:eastAsia="en-US"/>
        </w:rPr>
        <w:t>, Kenneth 2000 </w:t>
      </w:r>
      <w:r w:rsidRPr="005B0A67">
        <w:rPr>
          <w:rFonts w:ascii="Garamond" w:eastAsia="Times New Roman" w:hAnsi="Garamond" w:cs="Times New Roman"/>
          <w:i/>
          <w:iCs/>
          <w:color w:val="000000"/>
          <w:sz w:val="24"/>
          <w:szCs w:val="24"/>
          <w:lang w:eastAsia="en-US"/>
        </w:rPr>
        <w:t>The Great Divergence: Europe, China an</w:t>
      </w:r>
      <w:r w:rsidR="00696473" w:rsidRPr="005B0A67">
        <w:rPr>
          <w:rFonts w:ascii="Garamond" w:eastAsia="Times New Roman" w:hAnsi="Garamond" w:cs="Times New Roman"/>
          <w:i/>
          <w:iCs/>
          <w:color w:val="000000"/>
          <w:sz w:val="24"/>
          <w:szCs w:val="24"/>
          <w:lang w:eastAsia="en-US"/>
        </w:rPr>
        <w:t xml:space="preserve">d the Making of the Modern World </w:t>
      </w:r>
      <w:r w:rsidRPr="005B0A67">
        <w:rPr>
          <w:rFonts w:ascii="Garamond" w:eastAsia="Times New Roman" w:hAnsi="Garamond" w:cs="Times New Roman"/>
          <w:i/>
          <w:iCs/>
          <w:color w:val="000000"/>
          <w:sz w:val="24"/>
          <w:szCs w:val="24"/>
          <w:lang w:eastAsia="en-US"/>
        </w:rPr>
        <w:t>Economy</w:t>
      </w:r>
      <w:r w:rsidRPr="005B0A67">
        <w:rPr>
          <w:rFonts w:ascii="Garamond" w:eastAsia="Times New Roman" w:hAnsi="Garamond" w:cs="Times New Roman"/>
          <w:color w:val="000000"/>
          <w:sz w:val="24"/>
          <w:szCs w:val="24"/>
          <w:lang w:eastAsia="en-US"/>
        </w:rPr>
        <w:t>. Princeton: Princeton University Press.</w:t>
      </w:r>
    </w:p>
    <w:p w:rsidR="005B0A67" w:rsidRDefault="00143FB2" w:rsidP="005B0A67">
      <w:pPr>
        <w:ind w:left="720" w:hanging="720"/>
        <w:jc w:val="both"/>
        <w:rPr>
          <w:rFonts w:ascii="Garamond" w:hAnsi="Garamond"/>
          <w:sz w:val="24"/>
          <w:szCs w:val="24"/>
        </w:rPr>
      </w:pPr>
      <w:r w:rsidRPr="005B0A67">
        <w:rPr>
          <w:rFonts w:ascii="Garamond" w:hAnsi="Garamond"/>
          <w:sz w:val="24"/>
          <w:szCs w:val="24"/>
        </w:rPr>
        <w:t xml:space="preserve">Reba, Meredith, </w:t>
      </w:r>
      <w:proofErr w:type="spellStart"/>
      <w:r w:rsidRPr="005B0A67">
        <w:rPr>
          <w:rFonts w:ascii="Garamond" w:hAnsi="Garamond"/>
          <w:sz w:val="24"/>
          <w:szCs w:val="24"/>
        </w:rPr>
        <w:t>Femke</w:t>
      </w:r>
      <w:proofErr w:type="spellEnd"/>
      <w:r w:rsidRPr="005B0A67">
        <w:rPr>
          <w:rFonts w:ascii="Garamond" w:hAnsi="Garamond"/>
          <w:sz w:val="24"/>
          <w:szCs w:val="24"/>
        </w:rPr>
        <w:t xml:space="preserve"> </w:t>
      </w:r>
      <w:proofErr w:type="spellStart"/>
      <w:r w:rsidRPr="005B0A67">
        <w:rPr>
          <w:rFonts w:ascii="Garamond" w:hAnsi="Garamond"/>
          <w:sz w:val="24"/>
          <w:szCs w:val="24"/>
        </w:rPr>
        <w:t>Reitsma</w:t>
      </w:r>
      <w:proofErr w:type="spellEnd"/>
      <w:r w:rsidRPr="005B0A67">
        <w:rPr>
          <w:rFonts w:ascii="Garamond" w:hAnsi="Garamond"/>
          <w:sz w:val="24"/>
          <w:szCs w:val="24"/>
        </w:rPr>
        <w:t xml:space="preserve"> and Karen </w:t>
      </w:r>
      <w:proofErr w:type="spellStart"/>
      <w:r w:rsidRPr="005B0A67">
        <w:rPr>
          <w:rFonts w:ascii="Garamond" w:hAnsi="Garamond"/>
          <w:sz w:val="24"/>
          <w:szCs w:val="24"/>
        </w:rPr>
        <w:t>C.Seto</w:t>
      </w:r>
      <w:proofErr w:type="spellEnd"/>
      <w:r w:rsidRPr="005B0A67">
        <w:rPr>
          <w:rFonts w:ascii="Garamond" w:hAnsi="Garamond"/>
          <w:sz w:val="24"/>
          <w:szCs w:val="24"/>
        </w:rPr>
        <w:t xml:space="preserve"> 2016 “Spatializing 6,000 years of global urbanization from 3700 BC to AD 2000”  </w:t>
      </w:r>
      <w:r w:rsidRPr="005B0A67">
        <w:rPr>
          <w:rFonts w:ascii="Garamond" w:hAnsi="Garamond"/>
          <w:i/>
          <w:sz w:val="24"/>
          <w:szCs w:val="24"/>
        </w:rPr>
        <w:t xml:space="preserve">Scientific Data </w:t>
      </w:r>
      <w:r w:rsidR="005B0A67">
        <w:rPr>
          <w:rFonts w:ascii="Garamond" w:hAnsi="Garamond"/>
          <w:sz w:val="24"/>
          <w:szCs w:val="24"/>
        </w:rPr>
        <w:t xml:space="preserve"> 3 Macmillan Publishers Limited</w:t>
      </w:r>
    </w:p>
    <w:p w:rsidR="005B0A67" w:rsidRDefault="00B10D9A" w:rsidP="005B0A67">
      <w:pPr>
        <w:ind w:left="720"/>
        <w:jc w:val="both"/>
        <w:rPr>
          <w:rStyle w:val="Hyperlink"/>
          <w:rFonts w:ascii="Garamond" w:hAnsi="Garamond"/>
          <w:color w:val="auto"/>
          <w:sz w:val="24"/>
          <w:szCs w:val="24"/>
          <w:u w:val="none"/>
        </w:rPr>
      </w:pPr>
      <w:hyperlink r:id="rId41" w:history="1">
        <w:r w:rsidR="00143FB2" w:rsidRPr="005B0A67">
          <w:rPr>
            <w:rStyle w:val="Hyperlink"/>
            <w:rFonts w:ascii="Garamond" w:hAnsi="Garamond"/>
            <w:sz w:val="24"/>
            <w:szCs w:val="24"/>
          </w:rPr>
          <w:t>http://dx.doi.org/10.1038/sdata.2016.34</w:t>
        </w:r>
      </w:hyperlink>
      <w:r w:rsidR="00143FB2" w:rsidRPr="005B0A67">
        <w:rPr>
          <w:rFonts w:ascii="Garamond" w:hAnsi="Garamond"/>
          <w:sz w:val="24"/>
          <w:szCs w:val="24"/>
        </w:rPr>
        <w:t xml:space="preserve">   </w:t>
      </w:r>
      <w:hyperlink r:id="rId42" w:anchor="supplementary-information" w:history="1">
        <w:r w:rsidR="00143FB2" w:rsidRPr="005B0A67">
          <w:rPr>
            <w:rStyle w:val="Hyperlink"/>
            <w:rFonts w:ascii="Garamond" w:hAnsi="Garamond"/>
            <w:sz w:val="24"/>
            <w:szCs w:val="24"/>
          </w:rPr>
          <w:t>http://www.nature.com/articles/sdata201634#supplementary-information</w:t>
        </w:r>
      </w:hyperlink>
      <w:r w:rsidR="00143FB2" w:rsidRPr="005B0A67">
        <w:rPr>
          <w:rFonts w:ascii="Garamond" w:hAnsi="Garamond"/>
          <w:sz w:val="24"/>
          <w:szCs w:val="24"/>
        </w:rPr>
        <w:t xml:space="preserve">  </w:t>
      </w:r>
      <w:hyperlink r:id="rId43" w:history="1">
        <w:r w:rsidR="00143FB2" w:rsidRPr="005B0A67">
          <w:rPr>
            <w:rStyle w:val="Hyperlink"/>
            <w:rFonts w:ascii="Garamond" w:hAnsi="Garamond"/>
            <w:sz w:val="24"/>
            <w:szCs w:val="24"/>
          </w:rPr>
          <w:t>http://www.nature.com/articles/sdata201634</w:t>
        </w:r>
      </w:hyperlink>
    </w:p>
    <w:p w:rsidR="00002EE6" w:rsidRPr="005B0A67" w:rsidRDefault="00B10D9A" w:rsidP="005B0A67">
      <w:pPr>
        <w:ind w:left="720"/>
        <w:jc w:val="both"/>
        <w:rPr>
          <w:rFonts w:ascii="Garamond" w:hAnsi="Garamond"/>
          <w:sz w:val="24"/>
          <w:szCs w:val="24"/>
        </w:rPr>
      </w:pPr>
      <w:hyperlink r:id="rId44" w:history="1">
        <w:r w:rsidR="00002EE6" w:rsidRPr="005B0A67">
          <w:rPr>
            <w:rStyle w:val="Hyperlink"/>
            <w:rFonts w:ascii="Garamond" w:hAnsi="Garamond" w:cs="Courier New"/>
            <w:sz w:val="24"/>
            <w:szCs w:val="24"/>
          </w:rPr>
          <w:t>http://www.citylab.com/housing/2016/06/watch-6000-years-of-urbanization-in-3-minutes-max-galka-metrocosm/487142/</w:t>
        </w:r>
      </w:hyperlink>
    </w:p>
    <w:p w:rsidR="004263DA" w:rsidRPr="005B0A67" w:rsidRDefault="004263DA" w:rsidP="00696473">
      <w:pPr>
        <w:ind w:left="720" w:hanging="720"/>
        <w:jc w:val="both"/>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Rozman</w:t>
      </w:r>
      <w:proofErr w:type="spellEnd"/>
      <w:r w:rsidRPr="005B0A67">
        <w:rPr>
          <w:rFonts w:ascii="Garamond" w:eastAsia="Times New Roman" w:hAnsi="Garamond" w:cs="Times New Roman"/>
          <w:color w:val="000000"/>
          <w:sz w:val="24"/>
          <w:szCs w:val="24"/>
          <w:lang w:eastAsia="en-US"/>
        </w:rPr>
        <w:t>, Gilbert 1973 </w:t>
      </w:r>
      <w:r w:rsidRPr="005B0A67">
        <w:rPr>
          <w:rFonts w:ascii="Garamond" w:eastAsia="Times New Roman" w:hAnsi="Garamond" w:cs="Times New Roman"/>
          <w:i/>
          <w:iCs/>
          <w:color w:val="000000"/>
          <w:sz w:val="24"/>
          <w:szCs w:val="24"/>
          <w:lang w:eastAsia="en-US"/>
        </w:rPr>
        <w:t>Urban Networks in Ching China and </w:t>
      </w:r>
      <w:proofErr w:type="spellStart"/>
      <w:r w:rsidRPr="005B0A67">
        <w:rPr>
          <w:rFonts w:ascii="Garamond" w:eastAsia="Times New Roman" w:hAnsi="Garamond" w:cs="Times New Roman"/>
          <w:i/>
          <w:iCs/>
          <w:color w:val="000000"/>
          <w:sz w:val="24"/>
          <w:szCs w:val="24"/>
          <w:lang w:eastAsia="en-US"/>
        </w:rPr>
        <w:t>Tokogawa</w:t>
      </w:r>
      <w:proofErr w:type="spellEnd"/>
      <w:r w:rsidRPr="005B0A67">
        <w:rPr>
          <w:rFonts w:ascii="Garamond" w:eastAsia="Times New Roman" w:hAnsi="Garamond" w:cs="Times New Roman"/>
          <w:i/>
          <w:iCs/>
          <w:color w:val="000000"/>
          <w:sz w:val="24"/>
          <w:szCs w:val="24"/>
          <w:lang w:eastAsia="en-US"/>
        </w:rPr>
        <w:t> Japan.</w:t>
      </w:r>
      <w:r w:rsidRPr="005B0A67">
        <w:rPr>
          <w:rFonts w:ascii="Garamond" w:eastAsia="Times New Roman" w:hAnsi="Garamond" w:cs="Times New Roman"/>
          <w:color w:val="000000"/>
          <w:sz w:val="24"/>
          <w:szCs w:val="24"/>
          <w:lang w:eastAsia="en-US"/>
        </w:rPr>
        <w:t> Princeton, NJ:</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Princeton University Press.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Sanders, William T., Jeffrey R. Parsons, and Robert S. </w:t>
      </w:r>
      <w:proofErr w:type="spellStart"/>
      <w:r w:rsidRPr="005B0A67">
        <w:rPr>
          <w:rFonts w:ascii="Garamond" w:eastAsia="Times New Roman" w:hAnsi="Garamond" w:cs="Times New Roman"/>
          <w:color w:val="000000"/>
          <w:sz w:val="24"/>
          <w:szCs w:val="24"/>
          <w:lang w:eastAsia="en-US"/>
        </w:rPr>
        <w:t>Santley</w:t>
      </w:r>
      <w:proofErr w:type="spellEnd"/>
      <w:r w:rsidRPr="005B0A67">
        <w:rPr>
          <w:rFonts w:ascii="Garamond" w:eastAsia="Times New Roman" w:hAnsi="Garamond" w:cs="Times New Roman"/>
          <w:color w:val="000000"/>
          <w:sz w:val="24"/>
          <w:szCs w:val="24"/>
          <w:lang w:eastAsia="en-US"/>
        </w:rPr>
        <w:t> 1979 </w:t>
      </w:r>
      <w:r w:rsidRPr="005B0A67">
        <w:rPr>
          <w:rFonts w:ascii="Garamond" w:eastAsia="Times New Roman" w:hAnsi="Garamond" w:cs="Times New Roman"/>
          <w:i/>
          <w:iCs/>
          <w:color w:val="000000"/>
          <w:sz w:val="24"/>
          <w:szCs w:val="24"/>
          <w:lang w:eastAsia="en-US"/>
        </w:rPr>
        <w:t>The Basin of Mexico:</w:t>
      </w:r>
      <w:r w:rsidR="00696473"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Ecological Processes in the Evolution of a Civilization.</w:t>
      </w:r>
      <w:r w:rsidRPr="005B0A67">
        <w:rPr>
          <w:rFonts w:ascii="Garamond" w:eastAsia="Times New Roman" w:hAnsi="Garamond" w:cs="Times New Roman"/>
          <w:color w:val="000000"/>
          <w:sz w:val="24"/>
          <w:szCs w:val="24"/>
          <w:lang w:eastAsia="en-US"/>
        </w:rPr>
        <w:t> New York: Academic Press,</w:t>
      </w:r>
      <w:r w:rsidR="00696473" w:rsidRPr="005B0A67">
        <w:rPr>
          <w:rFonts w:ascii="Garamond" w:eastAsia="Times New Roman" w:hAnsi="Garamond" w:cs="Times New Roman"/>
          <w:color w:val="000000"/>
          <w:sz w:val="24"/>
          <w:szCs w:val="24"/>
          <w:lang w:eastAsia="en-US"/>
        </w:rPr>
        <w:t xml:space="preserve"> </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Scheidel</w:t>
      </w:r>
      <w:proofErr w:type="spellEnd"/>
      <w:r w:rsidRPr="005B0A67">
        <w:rPr>
          <w:rFonts w:ascii="Garamond" w:eastAsia="Times New Roman" w:hAnsi="Garamond" w:cs="Times New Roman"/>
          <w:color w:val="000000"/>
          <w:sz w:val="24"/>
          <w:szCs w:val="24"/>
          <w:lang w:eastAsia="en-US"/>
        </w:rPr>
        <w:t>, Walter</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2009 “From the “great convergence” to the “first great divergence”:</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Roman and Qin-Han state formation” Pp. 11-23 in Walter </w:t>
      </w:r>
      <w:proofErr w:type="spellStart"/>
      <w:r w:rsidRPr="005B0A67">
        <w:rPr>
          <w:rFonts w:ascii="Garamond" w:eastAsia="Times New Roman" w:hAnsi="Garamond" w:cs="Times New Roman"/>
          <w:color w:val="000000"/>
          <w:sz w:val="24"/>
          <w:szCs w:val="24"/>
          <w:lang w:eastAsia="en-US"/>
        </w:rPr>
        <w:t>Scheidel</w:t>
      </w:r>
      <w:proofErr w:type="spellEnd"/>
      <w:r w:rsidRPr="005B0A67">
        <w:rPr>
          <w:rFonts w:ascii="Garamond" w:eastAsia="Times New Roman" w:hAnsi="Garamond" w:cs="Times New Roman"/>
          <w:color w:val="000000"/>
          <w:sz w:val="24"/>
          <w:szCs w:val="24"/>
          <w:lang w:eastAsia="en-US"/>
        </w:rPr>
        <w:t> (ed.)  </w:t>
      </w:r>
      <w:r w:rsidRPr="005B0A67">
        <w:rPr>
          <w:rFonts w:ascii="Garamond" w:eastAsia="Times New Roman" w:hAnsi="Garamond" w:cs="Times New Roman"/>
          <w:i/>
          <w:iCs/>
          <w:color w:val="000000"/>
          <w:sz w:val="24"/>
          <w:szCs w:val="24"/>
          <w:lang w:eastAsia="en-US"/>
        </w:rPr>
        <w:t>Rome and</w:t>
      </w:r>
      <w:r w:rsidR="00696473"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China: Comparative Perspectives on Ancient World Empires</w:t>
      </w:r>
      <w:r w:rsidRPr="005B0A67">
        <w:rPr>
          <w:rFonts w:ascii="Garamond" w:eastAsia="Times New Roman" w:hAnsi="Garamond" w:cs="Times New Roman"/>
          <w:color w:val="000000"/>
          <w:sz w:val="24"/>
          <w:szCs w:val="24"/>
          <w:lang w:eastAsia="en-US"/>
        </w:rPr>
        <w:t>. New York: Oxford University</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Press.</w:t>
      </w:r>
    </w:p>
    <w:p w:rsidR="0036146F" w:rsidRPr="005B0A67" w:rsidRDefault="002C2C02"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and </w:t>
      </w:r>
      <w:proofErr w:type="spellStart"/>
      <w:r w:rsidR="004263DA" w:rsidRPr="005B0A67">
        <w:rPr>
          <w:rFonts w:ascii="Garamond" w:eastAsia="Times New Roman" w:hAnsi="Garamond" w:cs="Times New Roman"/>
          <w:color w:val="000000"/>
          <w:sz w:val="24"/>
          <w:szCs w:val="24"/>
          <w:lang w:eastAsia="en-US"/>
        </w:rPr>
        <w:t>Sitta</w:t>
      </w:r>
      <w:proofErr w:type="spellEnd"/>
      <w:r w:rsidR="004263DA" w:rsidRPr="005B0A67">
        <w:rPr>
          <w:rFonts w:ascii="Garamond" w:eastAsia="Times New Roman" w:hAnsi="Garamond" w:cs="Times New Roman"/>
          <w:color w:val="000000"/>
          <w:sz w:val="24"/>
          <w:szCs w:val="24"/>
          <w:lang w:eastAsia="en-US"/>
        </w:rPr>
        <w:t> Von </w:t>
      </w:r>
      <w:proofErr w:type="spellStart"/>
      <w:r w:rsidR="004263DA" w:rsidRPr="005B0A67">
        <w:rPr>
          <w:rFonts w:ascii="Garamond" w:eastAsia="Times New Roman" w:hAnsi="Garamond" w:cs="Times New Roman"/>
          <w:color w:val="000000"/>
          <w:sz w:val="24"/>
          <w:szCs w:val="24"/>
          <w:lang w:eastAsia="en-US"/>
        </w:rPr>
        <w:t>Reden</w:t>
      </w:r>
      <w:proofErr w:type="spellEnd"/>
      <w:r w:rsidR="004263DA" w:rsidRPr="005B0A67">
        <w:rPr>
          <w:rFonts w:ascii="Garamond" w:eastAsia="Times New Roman" w:hAnsi="Garamond" w:cs="Times New Roman"/>
          <w:color w:val="000000"/>
          <w:sz w:val="24"/>
          <w:szCs w:val="24"/>
          <w:lang w:eastAsia="en-US"/>
        </w:rPr>
        <w:t> (eds.) </w:t>
      </w:r>
      <w:r w:rsidR="004263DA" w:rsidRPr="005B0A67">
        <w:rPr>
          <w:rFonts w:ascii="Garamond" w:eastAsia="Times New Roman" w:hAnsi="Garamond" w:cs="Times New Roman"/>
          <w:i/>
          <w:iCs/>
          <w:color w:val="000000"/>
          <w:sz w:val="24"/>
          <w:szCs w:val="24"/>
          <w:lang w:eastAsia="en-US"/>
        </w:rPr>
        <w:t>The Ancient Economy</w:t>
      </w:r>
      <w:r w:rsidR="004263DA" w:rsidRPr="005B0A67">
        <w:rPr>
          <w:rFonts w:ascii="Garamond" w:eastAsia="Times New Roman" w:hAnsi="Garamond" w:cs="Times New Roman"/>
          <w:color w:val="000000"/>
          <w:sz w:val="24"/>
          <w:szCs w:val="24"/>
          <w:lang w:eastAsia="en-US"/>
        </w:rPr>
        <w:t>. New York: Routledge.</w:t>
      </w:r>
    </w:p>
    <w:p w:rsidR="0036146F"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SESHAT:  The Global History Data Bank. The Evolution Institute </w:t>
      </w:r>
      <w:hyperlink r:id="rId45" w:history="1">
        <w:r w:rsidRPr="005B0A67">
          <w:rPr>
            <w:rFonts w:ascii="Garamond" w:eastAsia="Times New Roman" w:hAnsi="Garamond" w:cs="Times New Roman"/>
            <w:color w:val="800080"/>
            <w:sz w:val="24"/>
            <w:szCs w:val="24"/>
            <w:u w:val="single"/>
            <w:lang w:eastAsia="en-US"/>
          </w:rPr>
          <w:t>http://evolution-institute.org/seshat</w:t>
        </w:r>
      </w:hyperlink>
    </w:p>
    <w:p w:rsidR="00437FA3" w:rsidRPr="005B0A67" w:rsidRDefault="00437FA3" w:rsidP="0036146F">
      <w:pPr>
        <w:ind w:left="720" w:hanging="720"/>
        <w:rPr>
          <w:rFonts w:ascii="Garamond" w:eastAsia="Times New Roman" w:hAnsi="Garamond" w:cs="Times New Roman"/>
          <w:color w:val="000000"/>
          <w:sz w:val="24"/>
          <w:szCs w:val="24"/>
          <w:lang w:eastAsia="en-US"/>
        </w:rPr>
      </w:pPr>
      <w:proofErr w:type="spellStart"/>
      <w:r w:rsidRPr="005B0A67">
        <w:rPr>
          <w:rFonts w:ascii="Garamond" w:hAnsi="Garamond" w:cs="Garamond"/>
          <w:color w:val="000000"/>
          <w:sz w:val="24"/>
          <w:szCs w:val="24"/>
        </w:rPr>
        <w:t>SetPol</w:t>
      </w:r>
      <w:proofErr w:type="spellEnd"/>
      <w:r w:rsidRPr="005B0A67">
        <w:rPr>
          <w:rFonts w:ascii="Garamond" w:hAnsi="Garamond" w:cs="Garamond"/>
          <w:color w:val="000000"/>
          <w:sz w:val="24"/>
          <w:szCs w:val="24"/>
        </w:rPr>
        <w:t xml:space="preserve">  </w:t>
      </w:r>
      <w:r w:rsidRPr="005B0A67">
        <w:rPr>
          <w:rFonts w:ascii="Garamond" w:hAnsi="Garamond" w:cs="Garamond"/>
          <w:sz w:val="24"/>
          <w:szCs w:val="24"/>
        </w:rPr>
        <w:t xml:space="preserve">Project. The Research Working Group on Settlements and </w:t>
      </w:r>
      <w:r w:rsidR="005B0A67" w:rsidRPr="005B0A67">
        <w:rPr>
          <w:rFonts w:ascii="Garamond" w:hAnsi="Garamond" w:cs="Garamond"/>
          <w:sz w:val="24"/>
          <w:szCs w:val="24"/>
        </w:rPr>
        <w:t>Polities, Institute</w:t>
      </w:r>
      <w:r w:rsidRPr="005B0A67">
        <w:rPr>
          <w:rFonts w:ascii="Garamond" w:hAnsi="Garamond" w:cs="Garamond"/>
          <w:sz w:val="24"/>
          <w:szCs w:val="24"/>
        </w:rPr>
        <w:t xml:space="preserve"> for Research on World-Systems, University of California-Riverside </w:t>
      </w:r>
      <w:hyperlink r:id="rId46" w:history="1">
        <w:r w:rsidRPr="005B0A67">
          <w:rPr>
            <w:rFonts w:ascii="Garamond" w:hAnsi="Garamond" w:cs="Garamond"/>
            <w:color w:val="800080"/>
            <w:sz w:val="24"/>
            <w:szCs w:val="24"/>
            <w:u w:val="single"/>
          </w:rPr>
          <w:t>http://irows.ucr.edu/research/citemp/citemp.html</w:t>
        </w:r>
      </w:hyperlink>
    </w:p>
    <w:p w:rsidR="0036146F" w:rsidRPr="005B0A67" w:rsidRDefault="004263DA" w:rsidP="0036146F">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Sherratt</w:t>
      </w:r>
      <w:proofErr w:type="spellEnd"/>
      <w:r w:rsidRPr="005B0A67">
        <w:rPr>
          <w:rFonts w:ascii="Garamond" w:eastAsia="Times New Roman" w:hAnsi="Garamond" w:cs="Times New Roman"/>
          <w:color w:val="000000"/>
          <w:sz w:val="24"/>
          <w:szCs w:val="24"/>
          <w:lang w:eastAsia="en-US"/>
        </w:rPr>
        <w:t>, Andrew G.  1993a. "What Would a Bronze-Age World System Look Like?  Relations Between</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Temperate Europe and the Mediterranean in Later Prehistory."  </w:t>
      </w:r>
      <w:r w:rsidRPr="005B0A67">
        <w:rPr>
          <w:rFonts w:ascii="Garamond" w:eastAsia="Times New Roman" w:hAnsi="Garamond" w:cs="Times New Roman"/>
          <w:i/>
          <w:iCs/>
          <w:color w:val="000000"/>
          <w:sz w:val="24"/>
          <w:szCs w:val="24"/>
          <w:lang w:eastAsia="en-US"/>
        </w:rPr>
        <w:t>Journal of European Archaeology</w:t>
      </w:r>
      <w:r w:rsidRPr="005B0A67">
        <w:rPr>
          <w:rFonts w:ascii="Garamond" w:eastAsia="Times New Roman" w:hAnsi="Garamond" w:cs="Times New Roman"/>
          <w:color w:val="000000"/>
          <w:sz w:val="24"/>
          <w:szCs w:val="24"/>
          <w:lang w:eastAsia="en-US"/>
        </w:rPr>
        <w:t> 1:2:1-57.</w:t>
      </w:r>
    </w:p>
    <w:p w:rsidR="0036146F"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_____.  1993b.  "Core, Periphery and Margin:  Perspectives on the Bronze Age."  Pp. 335-345 in</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i/>
          <w:iCs/>
          <w:color w:val="000000"/>
          <w:sz w:val="24"/>
          <w:szCs w:val="24"/>
          <w:lang w:eastAsia="en-US"/>
        </w:rPr>
        <w:t>Development and Decline in the Mediterranean Bronze Age</w:t>
      </w:r>
      <w:r w:rsidRPr="005B0A67">
        <w:rPr>
          <w:rFonts w:ascii="Garamond" w:eastAsia="Times New Roman" w:hAnsi="Garamond" w:cs="Times New Roman"/>
          <w:color w:val="000000"/>
          <w:sz w:val="24"/>
          <w:szCs w:val="24"/>
          <w:lang w:eastAsia="en-US"/>
        </w:rPr>
        <w:t>, edited by C. Mathers and S. </w:t>
      </w:r>
      <w:proofErr w:type="spellStart"/>
      <w:r w:rsidRPr="005B0A67">
        <w:rPr>
          <w:rFonts w:ascii="Garamond" w:eastAsia="Times New Roman" w:hAnsi="Garamond" w:cs="Times New Roman"/>
          <w:color w:val="000000"/>
          <w:sz w:val="24"/>
          <w:szCs w:val="24"/>
          <w:lang w:eastAsia="en-US"/>
        </w:rPr>
        <w:t>Stoddart</w:t>
      </w:r>
      <w:proofErr w:type="spellEnd"/>
      <w:r w:rsidRPr="005B0A67">
        <w:rPr>
          <w:rFonts w:ascii="Garamond" w:eastAsia="Times New Roman" w:hAnsi="Garamond" w:cs="Times New Roman"/>
          <w:color w:val="000000"/>
          <w:sz w:val="24"/>
          <w:szCs w:val="24"/>
          <w:lang w:eastAsia="en-US"/>
        </w:rPr>
        <w:t>.  Sheffield: Sheffield Academic Press.</w:t>
      </w:r>
    </w:p>
    <w:p w:rsidR="0036146F"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_____.  1993c. "Who are You Calling Peripheral?  Dependence and Independence in European Prehistory." Pp.  245-255 in </w:t>
      </w:r>
      <w:r w:rsidRPr="005B0A67">
        <w:rPr>
          <w:rFonts w:ascii="Garamond" w:eastAsia="Times New Roman" w:hAnsi="Garamond" w:cs="Times New Roman"/>
          <w:i/>
          <w:iCs/>
          <w:color w:val="000000"/>
          <w:sz w:val="24"/>
          <w:szCs w:val="24"/>
          <w:lang w:eastAsia="en-US"/>
        </w:rPr>
        <w:t>Trade and Exchange in Prehistoric Europe</w:t>
      </w:r>
      <w:r w:rsidRPr="005B0A67">
        <w:rPr>
          <w:rFonts w:ascii="Garamond" w:eastAsia="Times New Roman" w:hAnsi="Garamond" w:cs="Times New Roman"/>
          <w:color w:val="000000"/>
          <w:sz w:val="24"/>
          <w:szCs w:val="24"/>
          <w:lang w:eastAsia="en-US"/>
        </w:rPr>
        <w:t>, edited by C. </w:t>
      </w:r>
      <w:proofErr w:type="spellStart"/>
      <w:r w:rsidRPr="005B0A67">
        <w:rPr>
          <w:rFonts w:ascii="Garamond" w:eastAsia="Times New Roman" w:hAnsi="Garamond" w:cs="Times New Roman"/>
          <w:color w:val="000000"/>
          <w:sz w:val="24"/>
          <w:szCs w:val="24"/>
          <w:lang w:eastAsia="en-US"/>
        </w:rPr>
        <w:t>Scarre</w:t>
      </w:r>
      <w:proofErr w:type="spellEnd"/>
      <w:r w:rsidRPr="005B0A67">
        <w:rPr>
          <w:rFonts w:ascii="Garamond" w:eastAsia="Times New Roman" w:hAnsi="Garamond" w:cs="Times New Roman"/>
          <w:color w:val="000000"/>
          <w:sz w:val="24"/>
          <w:szCs w:val="24"/>
          <w:lang w:eastAsia="en-US"/>
        </w:rPr>
        <w:t> and F. Healy.  Oxford: Oxbow (Prehistoric Society Monograph).</w:t>
      </w:r>
    </w:p>
    <w:p w:rsidR="004263DA"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_____.  1993d. "The Growth of the Mediterranean Economy in the Early First Millennium BC." </w:t>
      </w:r>
      <w:r w:rsidRPr="005B0A67">
        <w:rPr>
          <w:rFonts w:ascii="Garamond" w:eastAsia="Times New Roman" w:hAnsi="Garamond" w:cs="Times New Roman"/>
          <w:i/>
          <w:iCs/>
          <w:color w:val="000000"/>
          <w:sz w:val="24"/>
          <w:szCs w:val="24"/>
          <w:lang w:eastAsia="en-US"/>
        </w:rPr>
        <w:t>World Archaeology</w:t>
      </w:r>
      <w:r w:rsidRPr="005B0A67">
        <w:rPr>
          <w:rFonts w:ascii="Garamond" w:eastAsia="Times New Roman" w:hAnsi="Garamond" w:cs="Times New Roman"/>
          <w:color w:val="000000"/>
          <w:sz w:val="24"/>
          <w:szCs w:val="24"/>
          <w:lang w:eastAsia="en-US"/>
        </w:rPr>
        <w:t> 24:3:361-78.</w:t>
      </w:r>
    </w:p>
    <w:p w:rsidR="004263DA" w:rsidRPr="005B0A67" w:rsidRDefault="004263DA" w:rsidP="00696473">
      <w:pPr>
        <w:keepNext/>
        <w:ind w:left="720" w:hanging="720"/>
        <w:outlineLvl w:val="2"/>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Schwartzberg, Joseph E. 1992 </w:t>
      </w:r>
      <w:r w:rsidRPr="005B0A67">
        <w:rPr>
          <w:rFonts w:ascii="Garamond" w:eastAsia="Times New Roman" w:hAnsi="Garamond" w:cs="Times New Roman"/>
          <w:i/>
          <w:iCs/>
          <w:color w:val="000000"/>
          <w:sz w:val="24"/>
          <w:szCs w:val="24"/>
          <w:lang w:eastAsia="en-US"/>
        </w:rPr>
        <w:t>A Historical Atlas of South Asia</w:t>
      </w:r>
      <w:r w:rsidRPr="005B0A67">
        <w:rPr>
          <w:rFonts w:ascii="Garamond" w:eastAsia="Times New Roman" w:hAnsi="Garamond" w:cs="Times New Roman"/>
          <w:color w:val="000000"/>
          <w:sz w:val="24"/>
          <w:szCs w:val="24"/>
          <w:lang w:eastAsia="en-US"/>
        </w:rPr>
        <w:t> New York:  Oxford</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University Press. </w:t>
      </w:r>
      <w:proofErr w:type="spellStart"/>
      <w:r w:rsidR="005B0A67" w:rsidRPr="005B0A67">
        <w:rPr>
          <w:rFonts w:ascii="Garamond" w:eastAsia="Times New Roman" w:hAnsi="Garamond" w:cs="Times New Roman"/>
          <w:color w:val="000000"/>
          <w:sz w:val="24"/>
          <w:szCs w:val="24"/>
          <w:lang w:eastAsia="en-US"/>
        </w:rPr>
        <w:t>eMap</w:t>
      </w:r>
      <w:proofErr w:type="spellEnd"/>
      <w:r w:rsidR="005B0A67" w:rsidRPr="005B0A67">
        <w:rPr>
          <w:rFonts w:ascii="Garamond" w:eastAsia="Times New Roman" w:hAnsi="Garamond" w:cs="Times New Roman"/>
          <w:color w:val="000000"/>
          <w:sz w:val="24"/>
          <w:szCs w:val="24"/>
          <w:lang w:eastAsia="en-US"/>
        </w:rPr>
        <w:t>:</w:t>
      </w:r>
      <w:r w:rsidRPr="005B0A67">
        <w:rPr>
          <w:rFonts w:ascii="Garamond" w:eastAsia="Times New Roman" w:hAnsi="Garamond" w:cs="Times New Roman"/>
          <w:color w:val="000000"/>
          <w:sz w:val="24"/>
          <w:szCs w:val="24"/>
          <w:lang w:eastAsia="en-US"/>
        </w:rPr>
        <w:t> </w:t>
      </w:r>
      <w:r w:rsidR="005B0A67" w:rsidRPr="005B0A67">
        <w:rPr>
          <w:rFonts w:ascii="Garamond" w:eastAsia="Times New Roman" w:hAnsi="Garamond" w:cs="Times New Roman"/>
          <w:color w:val="000000"/>
          <w:sz w:val="24"/>
          <w:szCs w:val="24"/>
          <w:lang w:eastAsia="en-US"/>
        </w:rPr>
        <w:t>Atlas:</w:t>
      </w:r>
      <w:r w:rsidRPr="005B0A67">
        <w:rPr>
          <w:rFonts w:ascii="Garamond" w:eastAsia="Times New Roman" w:hAnsi="Garamond" w:cs="Times New Roman"/>
          <w:color w:val="000000"/>
          <w:sz w:val="24"/>
          <w:szCs w:val="24"/>
          <w:lang w:eastAsia="en-US"/>
        </w:rPr>
        <w:t xml:space="preserve"> </w:t>
      </w:r>
      <w:r w:rsidR="005B0A67" w:rsidRPr="005B0A67">
        <w:rPr>
          <w:rFonts w:ascii="Garamond" w:eastAsia="Times New Roman" w:hAnsi="Garamond" w:cs="Times New Roman"/>
          <w:color w:val="000000"/>
          <w:sz w:val="24"/>
          <w:szCs w:val="24"/>
          <w:lang w:eastAsia="en-US"/>
        </w:rPr>
        <w:t>Document:</w:t>
      </w:r>
      <w:r w:rsidRPr="005B0A67">
        <w:rPr>
          <w:rFonts w:ascii="Garamond" w:eastAsia="Times New Roman" w:hAnsi="Garamond" w:cs="Times New Roman"/>
          <w:color w:val="000000"/>
          <w:sz w:val="24"/>
          <w:szCs w:val="24"/>
          <w:lang w:eastAsia="en-US"/>
        </w:rPr>
        <w:t xml:space="preserve"> English : 2nd impression.  Chicago, </w:t>
      </w:r>
      <w:r w:rsidR="005B0A67" w:rsidRPr="005B0A67">
        <w:rPr>
          <w:rFonts w:ascii="Garamond" w:eastAsia="Times New Roman" w:hAnsi="Garamond" w:cs="Times New Roman"/>
          <w:color w:val="000000"/>
          <w:sz w:val="24"/>
          <w:szCs w:val="24"/>
          <w:lang w:eastAsia="en-US"/>
        </w:rPr>
        <w:t>Ill.:</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Digital South Asia Library, Center for Research Libraries</w:t>
      </w:r>
      <w:r w:rsidR="00696473" w:rsidRPr="005B0A67">
        <w:rPr>
          <w:rFonts w:ascii="Garamond" w:eastAsia="Times New Roman" w:hAnsi="Garamond" w:cs="Times New Roman"/>
          <w:color w:val="000000"/>
          <w:sz w:val="24"/>
          <w:szCs w:val="24"/>
          <w:lang w:eastAsia="en-US"/>
        </w:rPr>
        <w:t xml:space="preserve"> </w:t>
      </w:r>
      <w:hyperlink r:id="rId47" w:tgtFrame="_blank" w:history="1">
        <w:r w:rsidRPr="005B0A67">
          <w:rPr>
            <w:rFonts w:ascii="Garamond" w:eastAsia="Times New Roman" w:hAnsi="Garamond" w:cs="Times New Roman"/>
            <w:color w:val="800080"/>
            <w:sz w:val="24"/>
            <w:szCs w:val="24"/>
            <w:u w:val="single"/>
            <w:lang w:eastAsia="en-US"/>
          </w:rPr>
          <w:t>http://dsal.uchicago.edu/reference/schwartzberg/</w:t>
        </w:r>
      </w:hyperlink>
    </w:p>
    <w:p w:rsidR="004263DA" w:rsidRPr="005B0A67" w:rsidRDefault="004263DA" w:rsidP="00696473">
      <w:pPr>
        <w:ind w:left="144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Taagepera</w:t>
      </w:r>
      <w:proofErr w:type="spellEnd"/>
      <w:r w:rsidRPr="005B0A67">
        <w:rPr>
          <w:rFonts w:ascii="Garamond" w:eastAsia="Times New Roman" w:hAnsi="Garamond" w:cs="Times New Roman"/>
          <w:color w:val="000000"/>
          <w:sz w:val="24"/>
          <w:szCs w:val="24"/>
          <w:lang w:eastAsia="en-US"/>
        </w:rPr>
        <w:t>, Rein 1978a "Size and duration of empires: systematics of size"</w:t>
      </w:r>
      <w:r w:rsidRPr="005B0A67">
        <w:rPr>
          <w:rFonts w:ascii="Garamond" w:eastAsia="Times New Roman" w:hAnsi="Garamond" w:cs="Times New Roman"/>
          <w:i/>
          <w:iCs/>
          <w:color w:val="000000"/>
          <w:sz w:val="24"/>
          <w:szCs w:val="24"/>
          <w:lang w:eastAsia="en-US"/>
        </w:rPr>
        <w:t xml:space="preserve"> Social </w:t>
      </w:r>
      <w:proofErr w:type="spellStart"/>
      <w:r w:rsidRPr="005B0A67">
        <w:rPr>
          <w:rFonts w:ascii="Garamond" w:eastAsia="Times New Roman" w:hAnsi="Garamond" w:cs="Times New Roman"/>
          <w:i/>
          <w:iCs/>
          <w:color w:val="000000"/>
          <w:sz w:val="24"/>
          <w:szCs w:val="24"/>
          <w:lang w:eastAsia="en-US"/>
        </w:rPr>
        <w:t>ScienceResearch</w:t>
      </w:r>
      <w:proofErr w:type="spellEnd"/>
      <w:r w:rsidRPr="005B0A67">
        <w:rPr>
          <w:rFonts w:ascii="Garamond" w:eastAsia="Times New Roman" w:hAnsi="Garamond" w:cs="Times New Roman"/>
          <w:i/>
          <w:iCs/>
          <w:color w:val="000000"/>
          <w:sz w:val="24"/>
          <w:szCs w:val="24"/>
          <w:lang w:eastAsia="en-US"/>
        </w:rPr>
        <w:t xml:space="preserve"> 7:108-27.</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1978b "Size and duration of empires: growth-decline curves, 3000 to 600 B.C."</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i/>
          <w:iCs/>
          <w:color w:val="000000"/>
          <w:sz w:val="24"/>
          <w:szCs w:val="24"/>
          <w:lang w:eastAsia="en-US"/>
        </w:rPr>
        <w:t>Social Science Research</w:t>
      </w:r>
      <w:r w:rsidR="004263DA" w:rsidRPr="005B0A67">
        <w:rPr>
          <w:rFonts w:ascii="Garamond" w:eastAsia="Times New Roman" w:hAnsi="Garamond" w:cs="Times New Roman"/>
          <w:color w:val="000000"/>
          <w:sz w:val="24"/>
          <w:szCs w:val="24"/>
          <w:lang w:eastAsia="en-US"/>
        </w:rPr>
        <w:t>, 7 :180-96.</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1979 "Size and duration of empires: growth-decline curves, 600 B.C. to 600 A.D."</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i/>
          <w:iCs/>
          <w:color w:val="000000"/>
          <w:sz w:val="24"/>
          <w:szCs w:val="24"/>
          <w:lang w:eastAsia="en-US"/>
        </w:rPr>
        <w:t>Social Science History</w:t>
      </w:r>
      <w:r w:rsidR="004263DA" w:rsidRPr="005B0A67">
        <w:rPr>
          <w:rFonts w:ascii="Garamond" w:eastAsia="Times New Roman" w:hAnsi="Garamond" w:cs="Times New Roman"/>
          <w:color w:val="000000"/>
          <w:sz w:val="24"/>
          <w:szCs w:val="24"/>
          <w:lang w:eastAsia="en-US"/>
        </w:rPr>
        <w:t> 3,3-4:115-38.</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1997 “Expansion and contraction patterns of large polities: context for Russia.”</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i/>
          <w:iCs/>
          <w:color w:val="000000"/>
          <w:sz w:val="24"/>
          <w:szCs w:val="24"/>
          <w:lang w:eastAsia="en-US"/>
        </w:rPr>
        <w:t>International Studies Quarterly </w:t>
      </w:r>
      <w:r w:rsidR="004263DA" w:rsidRPr="005B0A67">
        <w:rPr>
          <w:rFonts w:ascii="Garamond" w:eastAsia="Times New Roman" w:hAnsi="Garamond" w:cs="Times New Roman"/>
          <w:color w:val="000000"/>
          <w:sz w:val="24"/>
          <w:szCs w:val="24"/>
          <w:lang w:eastAsia="en-US"/>
        </w:rPr>
        <w:t>41,3:475-504.</w:t>
      </w:r>
    </w:p>
    <w:p w:rsidR="001A30A7" w:rsidRDefault="00C965A5" w:rsidP="00E62284">
      <w:pPr>
        <w:ind w:left="720" w:hanging="720"/>
        <w:rPr>
          <w:rStyle w:val="Hyperlink"/>
          <w:rFonts w:ascii="Garamond" w:eastAsia="Times New Roman" w:hAnsi="Garamond" w:cs="Times New Roman"/>
          <w:sz w:val="24"/>
          <w:szCs w:val="24"/>
          <w:lang w:eastAsia="en-US"/>
        </w:rPr>
      </w:pPr>
      <w:r w:rsidRPr="005B0A67">
        <w:rPr>
          <w:rFonts w:ascii="Garamond" w:eastAsia="Times New Roman" w:hAnsi="Garamond" w:cs="Times New Roman"/>
          <w:color w:val="000000"/>
          <w:sz w:val="24"/>
          <w:szCs w:val="24"/>
          <w:lang w:eastAsia="en-US"/>
        </w:rPr>
        <w:t xml:space="preserve">Smith, Michael </w:t>
      </w:r>
      <w:r w:rsidRPr="001A30A7">
        <w:rPr>
          <w:rFonts w:ascii="Garamond" w:eastAsia="Times New Roman" w:hAnsi="Garamond" w:cs="Times New Roman"/>
          <w:color w:val="000000"/>
          <w:sz w:val="24"/>
          <w:szCs w:val="24"/>
          <w:lang w:eastAsia="en-US"/>
        </w:rPr>
        <w:t>E</w:t>
      </w:r>
      <w:r w:rsidR="001A30A7" w:rsidRPr="001A30A7">
        <w:rPr>
          <w:rFonts w:ascii="Garamond" w:eastAsia="Times New Roman" w:hAnsi="Garamond" w:cs="Times New Roman"/>
          <w:color w:val="000000"/>
          <w:sz w:val="24"/>
          <w:szCs w:val="24"/>
          <w:lang w:eastAsia="en-US"/>
        </w:rPr>
        <w:t>.</w:t>
      </w:r>
      <w:r w:rsidR="001C7733">
        <w:rPr>
          <w:rFonts w:ascii="Garamond" w:eastAsia="Times New Roman" w:hAnsi="Garamond" w:cs="Times New Roman"/>
          <w:color w:val="000000"/>
          <w:sz w:val="24"/>
          <w:szCs w:val="24"/>
          <w:lang w:eastAsia="en-US"/>
        </w:rPr>
        <w:t xml:space="preserve"> 2016a</w:t>
      </w:r>
      <w:r w:rsidR="001A30A7">
        <w:rPr>
          <w:rFonts w:ascii="Garamond" w:eastAsia="Times New Roman" w:hAnsi="Garamond" w:cs="Times New Roman"/>
          <w:color w:val="000000"/>
          <w:sz w:val="24"/>
          <w:szCs w:val="24"/>
          <w:lang w:eastAsia="en-US"/>
        </w:rPr>
        <w:t xml:space="preserve"> </w:t>
      </w:r>
      <w:r w:rsidR="001A30A7" w:rsidRPr="001A30A7">
        <w:rPr>
          <w:rFonts w:ascii="Garamond" w:eastAsia="Times New Roman" w:hAnsi="Garamond" w:cs="Times New Roman"/>
          <w:color w:val="000000"/>
          <w:sz w:val="24"/>
          <w:szCs w:val="24"/>
          <w:lang w:eastAsia="en-US"/>
        </w:rPr>
        <w:t xml:space="preserve">"Why would a journal called "Scientific Data" publish bad data? The </w:t>
      </w:r>
      <w:r w:rsidR="001A30A7" w:rsidRPr="00E62284">
        <w:rPr>
          <w:rFonts w:ascii="Garamond" w:eastAsia="Times New Roman" w:hAnsi="Garamond" w:cs="Times New Roman"/>
          <w:color w:val="000000"/>
          <w:sz w:val="24"/>
          <w:szCs w:val="24"/>
          <w:lang w:eastAsia="en-US"/>
        </w:rPr>
        <w:t>Chandler/</w:t>
      </w:r>
      <w:proofErr w:type="spellStart"/>
      <w:r w:rsidR="001A30A7" w:rsidRPr="00E62284">
        <w:rPr>
          <w:rFonts w:ascii="Garamond" w:eastAsia="Times New Roman" w:hAnsi="Garamond" w:cs="Times New Roman"/>
          <w:color w:val="000000"/>
          <w:sz w:val="24"/>
          <w:szCs w:val="24"/>
          <w:lang w:eastAsia="en-US"/>
        </w:rPr>
        <w:t>Modelski</w:t>
      </w:r>
      <w:proofErr w:type="spellEnd"/>
      <w:r w:rsidR="001A30A7" w:rsidRPr="00E62284">
        <w:rPr>
          <w:rFonts w:ascii="Garamond" w:eastAsia="Times New Roman" w:hAnsi="Garamond" w:cs="Times New Roman"/>
          <w:color w:val="000000"/>
          <w:sz w:val="24"/>
          <w:szCs w:val="24"/>
          <w:lang w:eastAsia="en-US"/>
        </w:rPr>
        <w:t xml:space="preserve"> city-size problem" </w:t>
      </w:r>
      <w:hyperlink r:id="rId48" w:history="1">
        <w:r w:rsidR="001A30A7" w:rsidRPr="00E62284">
          <w:rPr>
            <w:rStyle w:val="Hyperlink"/>
            <w:rFonts w:ascii="Garamond" w:eastAsia="Times New Roman" w:hAnsi="Garamond" w:cs="Times New Roman"/>
            <w:sz w:val="24"/>
            <w:szCs w:val="24"/>
            <w:lang w:eastAsia="en-US"/>
          </w:rPr>
          <w:t>http://publishingarchaeology.blogspot.jp/2016/06/why-would-journal-called-scientific.html</w:t>
        </w:r>
      </w:hyperlink>
    </w:p>
    <w:p w:rsidR="00D56E42" w:rsidRDefault="001C7733" w:rsidP="00E62284">
      <w:pPr>
        <w:pStyle w:val="xmsonormal"/>
        <w:autoSpaceDE w:val="0"/>
        <w:autoSpaceDN w:val="0"/>
        <w:spacing w:before="0" w:beforeAutospacing="0" w:after="0" w:afterAutospacing="0"/>
        <w:jc w:val="both"/>
        <w:rPr>
          <w:rFonts w:ascii="Garamond" w:hAnsi="Garamond"/>
          <w:iCs/>
          <w:color w:val="000000"/>
        </w:rPr>
      </w:pPr>
      <w:r>
        <w:rPr>
          <w:rFonts w:ascii="Garamond" w:hAnsi="Garamond" w:cs="Arial"/>
        </w:rPr>
        <w:t>____________ 2016b “</w:t>
      </w:r>
      <w:r w:rsidRPr="001C7733">
        <w:rPr>
          <w:rFonts w:ascii="Garamond" w:hAnsi="Garamond"/>
          <w:iCs/>
          <w:color w:val="000000"/>
        </w:rPr>
        <w:t>Bounding Empires and Political/Military Networks with Archaeological Data</w:t>
      </w:r>
      <w:r>
        <w:rPr>
          <w:rFonts w:ascii="Garamond" w:hAnsi="Garamond"/>
          <w:iCs/>
          <w:color w:val="000000"/>
        </w:rPr>
        <w:t>”</w:t>
      </w:r>
      <w:r w:rsidR="00D56E42">
        <w:rPr>
          <w:rFonts w:ascii="Garamond" w:hAnsi="Garamond"/>
          <w:iCs/>
          <w:color w:val="000000"/>
        </w:rPr>
        <w:t xml:space="preserve"> </w:t>
      </w:r>
    </w:p>
    <w:p w:rsidR="00D56E42" w:rsidRDefault="00D56E42" w:rsidP="00E62284">
      <w:pPr>
        <w:pStyle w:val="xmsonormal"/>
        <w:autoSpaceDE w:val="0"/>
        <w:autoSpaceDN w:val="0"/>
        <w:spacing w:before="0" w:beforeAutospacing="0" w:after="0" w:afterAutospacing="0"/>
        <w:jc w:val="both"/>
        <w:rPr>
          <w:rFonts w:ascii="Garamond" w:hAnsi="Garamond"/>
          <w:iCs/>
          <w:color w:val="000000"/>
        </w:rPr>
      </w:pPr>
      <w:r>
        <w:rPr>
          <w:rFonts w:ascii="Garamond" w:hAnsi="Garamond"/>
          <w:iCs/>
          <w:color w:val="000000"/>
        </w:rPr>
        <w:lastRenderedPageBreak/>
        <w:tab/>
        <w:t>Paper presented at the workshop on Systemic Boundaries, March 4, 2016 University of California-</w:t>
      </w:r>
    </w:p>
    <w:p w:rsidR="00D56E42" w:rsidRPr="001C7733" w:rsidRDefault="00D56E42" w:rsidP="00E62284">
      <w:pPr>
        <w:pStyle w:val="xmsonormal"/>
        <w:autoSpaceDE w:val="0"/>
        <w:autoSpaceDN w:val="0"/>
        <w:spacing w:before="0" w:beforeAutospacing="0" w:after="0" w:afterAutospacing="0"/>
        <w:jc w:val="both"/>
        <w:rPr>
          <w:rFonts w:ascii="Garamond" w:hAnsi="Garamond" w:cs="Arial"/>
        </w:rPr>
      </w:pPr>
      <w:r>
        <w:rPr>
          <w:rFonts w:ascii="Garamond" w:hAnsi="Garamond"/>
          <w:iCs/>
          <w:color w:val="000000"/>
        </w:rPr>
        <w:tab/>
        <w:t xml:space="preserve">Riverside. </w:t>
      </w:r>
      <w:hyperlink r:id="rId49" w:history="1">
        <w:r w:rsidRPr="00D56E42">
          <w:rPr>
            <w:rStyle w:val="Hyperlink"/>
            <w:rFonts w:ascii="Garamond" w:hAnsi="Garamond" w:cs="Arial"/>
          </w:rPr>
          <w:t>http://wsarch.ucr.edu/archive/conferences/confname/papmike.pdf</w:t>
        </w:r>
      </w:hyperlink>
    </w:p>
    <w:p w:rsidR="00E62284" w:rsidRDefault="00E62284" w:rsidP="00E62284">
      <w:pPr>
        <w:pStyle w:val="xmsonormal"/>
        <w:autoSpaceDE w:val="0"/>
        <w:autoSpaceDN w:val="0"/>
        <w:spacing w:before="0" w:beforeAutospacing="0" w:after="0" w:afterAutospacing="0"/>
        <w:jc w:val="both"/>
        <w:rPr>
          <w:rFonts w:ascii="Garamond" w:hAnsi="Garamond" w:cs="Arial"/>
        </w:rPr>
      </w:pPr>
      <w:r w:rsidRPr="00E62284">
        <w:rPr>
          <w:rFonts w:ascii="Garamond" w:hAnsi="Garamond" w:cs="Arial"/>
        </w:rPr>
        <w:t xml:space="preserve">Smith, Michael E. and Lisa </w:t>
      </w:r>
      <w:proofErr w:type="spellStart"/>
      <w:r w:rsidRPr="00E62284">
        <w:rPr>
          <w:rFonts w:ascii="Garamond" w:hAnsi="Garamond" w:cs="Arial"/>
        </w:rPr>
        <w:t>Montiel</w:t>
      </w:r>
      <w:proofErr w:type="spellEnd"/>
      <w:r w:rsidRPr="00E62284">
        <w:rPr>
          <w:rFonts w:ascii="Garamond" w:hAnsi="Garamond" w:cs="Arial"/>
        </w:rPr>
        <w:t xml:space="preserve"> 2001 “The Archaeological Study of Empires and Imperialism in </w:t>
      </w:r>
    </w:p>
    <w:p w:rsidR="00E62284" w:rsidRPr="00E62284" w:rsidRDefault="00E62284" w:rsidP="00E62284">
      <w:pPr>
        <w:pStyle w:val="xmsonormal"/>
        <w:autoSpaceDE w:val="0"/>
        <w:autoSpaceDN w:val="0"/>
        <w:spacing w:before="0" w:beforeAutospacing="0" w:after="0" w:afterAutospacing="0"/>
        <w:jc w:val="both"/>
        <w:rPr>
          <w:rFonts w:ascii="Garamond" w:hAnsi="Garamond" w:cs="Tahoma"/>
        </w:rPr>
      </w:pPr>
      <w:r>
        <w:rPr>
          <w:rFonts w:ascii="Garamond" w:hAnsi="Garamond" w:cs="Arial"/>
        </w:rPr>
        <w:tab/>
      </w:r>
      <w:proofErr w:type="spellStart"/>
      <w:r w:rsidRPr="00E62284">
        <w:rPr>
          <w:rFonts w:ascii="Garamond" w:hAnsi="Garamond" w:cs="Arial"/>
        </w:rPr>
        <w:t>Prehispanic</w:t>
      </w:r>
      <w:proofErr w:type="spellEnd"/>
      <w:r w:rsidRPr="00E62284">
        <w:rPr>
          <w:rFonts w:ascii="Garamond" w:hAnsi="Garamond" w:cs="Arial"/>
        </w:rPr>
        <w:t xml:space="preserve"> Central Mexico”  </w:t>
      </w:r>
      <w:r w:rsidRPr="00E62284">
        <w:rPr>
          <w:rFonts w:ascii="Garamond" w:hAnsi="Garamond" w:cs="Arial"/>
          <w:i/>
          <w:iCs/>
        </w:rPr>
        <w:t>Journal of Anthropological Archaeology</w:t>
      </w:r>
      <w:r w:rsidRPr="00E62284">
        <w:rPr>
          <w:rFonts w:ascii="Garamond" w:hAnsi="Garamond" w:cs="Arial"/>
        </w:rPr>
        <w:t xml:space="preserve"> 20: 245-284.</w:t>
      </w:r>
    </w:p>
    <w:p w:rsidR="00414F52" w:rsidRPr="005B0A67" w:rsidRDefault="00414F52" w:rsidP="00414F52">
      <w:pPr>
        <w:ind w:left="720" w:hanging="720"/>
        <w:rPr>
          <w:rFonts w:ascii="Garamond" w:eastAsia="Times New Roman" w:hAnsi="Garamond" w:cs="Times New Roman"/>
          <w:color w:val="0000FF"/>
          <w:sz w:val="24"/>
          <w:szCs w:val="24"/>
          <w:u w:val="single"/>
          <w:lang w:eastAsia="en-US"/>
        </w:rPr>
      </w:pPr>
      <w:proofErr w:type="spellStart"/>
      <w:r w:rsidRPr="005B0A67">
        <w:rPr>
          <w:rFonts w:ascii="Garamond" w:eastAsia="Times New Roman" w:hAnsi="Garamond" w:cs="Times New Roman"/>
          <w:sz w:val="24"/>
          <w:szCs w:val="24"/>
          <w:lang w:eastAsia="en-US"/>
        </w:rPr>
        <w:t>Taagepera</w:t>
      </w:r>
      <w:proofErr w:type="spellEnd"/>
      <w:r w:rsidRPr="005B0A67">
        <w:rPr>
          <w:rFonts w:ascii="Garamond" w:eastAsia="Times New Roman" w:hAnsi="Garamond" w:cs="Times New Roman"/>
          <w:sz w:val="24"/>
          <w:szCs w:val="24"/>
          <w:lang w:eastAsia="en-US"/>
        </w:rPr>
        <w:t xml:space="preserve">, Rein. 1978a. "Size and Duration of Empires: systematics of size." </w:t>
      </w:r>
      <w:r w:rsidRPr="005B0A67">
        <w:rPr>
          <w:rFonts w:ascii="Garamond" w:eastAsia="Times New Roman" w:hAnsi="Garamond" w:cs="Times New Roman"/>
          <w:i/>
          <w:sz w:val="24"/>
          <w:szCs w:val="24"/>
          <w:lang w:eastAsia="en-US"/>
        </w:rPr>
        <w:t>Social Science Research</w:t>
      </w:r>
      <w:r w:rsidRPr="005B0A67">
        <w:rPr>
          <w:rFonts w:ascii="Garamond" w:eastAsia="Times New Roman" w:hAnsi="Garamond" w:cs="Times New Roman"/>
          <w:sz w:val="24"/>
          <w:szCs w:val="24"/>
          <w:lang w:eastAsia="en-US"/>
        </w:rPr>
        <w:t xml:space="preserve"> 7:108-27. </w:t>
      </w:r>
      <w:hyperlink r:id="rId50" w:history="1">
        <w:r w:rsidRPr="005B0A67">
          <w:rPr>
            <w:rFonts w:ascii="Garamond" w:eastAsia="Times New Roman" w:hAnsi="Garamond" w:cs="Times New Roman"/>
            <w:color w:val="0000FF"/>
            <w:sz w:val="24"/>
            <w:szCs w:val="24"/>
            <w:u w:val="single"/>
            <w:lang w:eastAsia="en-US"/>
          </w:rPr>
          <w:t>http://www.sciencedirect.com/science/article/pii/0049089X78900078</w:t>
        </w:r>
      </w:hyperlink>
    </w:p>
    <w:p w:rsidR="00414F52" w:rsidRPr="005B0A67" w:rsidRDefault="00414F52" w:rsidP="00414F52">
      <w:pPr>
        <w:ind w:left="720" w:hanging="720"/>
        <w:rPr>
          <w:rFonts w:ascii="Garamond" w:eastAsia="Times New Roman" w:hAnsi="Garamond" w:cs="Times New Roman"/>
          <w:sz w:val="24"/>
          <w:szCs w:val="24"/>
          <w:lang w:eastAsia="en-US"/>
        </w:rPr>
      </w:pPr>
      <w:proofErr w:type="spellStart"/>
      <w:r w:rsidRPr="005B0A67">
        <w:rPr>
          <w:rFonts w:ascii="Garamond" w:eastAsia="Times New Roman" w:hAnsi="Garamond" w:cs="Times New Roman"/>
          <w:sz w:val="24"/>
          <w:szCs w:val="24"/>
          <w:lang w:eastAsia="en-US"/>
        </w:rPr>
        <w:t>Taagepera</w:t>
      </w:r>
      <w:proofErr w:type="spellEnd"/>
      <w:r w:rsidRPr="005B0A67">
        <w:rPr>
          <w:rFonts w:ascii="Garamond" w:eastAsia="Times New Roman" w:hAnsi="Garamond" w:cs="Times New Roman"/>
          <w:sz w:val="24"/>
          <w:szCs w:val="24"/>
          <w:lang w:eastAsia="en-US"/>
        </w:rPr>
        <w:t xml:space="preserve">, Rein. 1978b. "Size and duration of empires:  growth-decline curves, 3000 to 600 B.C." </w:t>
      </w:r>
      <w:r w:rsidRPr="005B0A67">
        <w:rPr>
          <w:rFonts w:ascii="Garamond" w:eastAsia="Times New Roman" w:hAnsi="Garamond" w:cs="Times New Roman"/>
          <w:i/>
          <w:sz w:val="24"/>
          <w:szCs w:val="24"/>
          <w:lang w:eastAsia="en-US"/>
        </w:rPr>
        <w:t>Social Science Research</w:t>
      </w:r>
      <w:r w:rsidRPr="005B0A67">
        <w:rPr>
          <w:rFonts w:ascii="Garamond" w:eastAsia="Times New Roman" w:hAnsi="Garamond" w:cs="Times New Roman"/>
          <w:sz w:val="24"/>
          <w:szCs w:val="24"/>
          <w:lang w:eastAsia="en-US"/>
        </w:rPr>
        <w:t xml:space="preserve"> 7: 180-96.  </w:t>
      </w:r>
      <w:hyperlink r:id="rId51" w:history="1">
        <w:r w:rsidRPr="005B0A67">
          <w:rPr>
            <w:rFonts w:ascii="Garamond" w:eastAsia="Times New Roman" w:hAnsi="Garamond" w:cs="Times New Roman"/>
            <w:color w:val="0000FF"/>
            <w:sz w:val="24"/>
            <w:szCs w:val="24"/>
            <w:u w:val="single"/>
            <w:lang w:eastAsia="en-US"/>
          </w:rPr>
          <w:t>http://www.sciencedirect.com/science/article/pii/0049089X78900108</w:t>
        </w:r>
      </w:hyperlink>
    </w:p>
    <w:p w:rsidR="00414F52" w:rsidRPr="005B0A67" w:rsidRDefault="00414F52" w:rsidP="00414F52">
      <w:pPr>
        <w:ind w:left="720" w:hanging="720"/>
        <w:rPr>
          <w:rFonts w:ascii="Garamond" w:eastAsia="Times New Roman" w:hAnsi="Garamond" w:cs="Times New Roman"/>
          <w:sz w:val="24"/>
          <w:szCs w:val="24"/>
          <w:lang w:eastAsia="en-US"/>
        </w:rPr>
      </w:pPr>
      <w:proofErr w:type="spellStart"/>
      <w:r w:rsidRPr="005B0A67">
        <w:rPr>
          <w:rFonts w:ascii="Garamond" w:eastAsia="Times New Roman" w:hAnsi="Garamond" w:cs="Times New Roman"/>
          <w:sz w:val="24"/>
          <w:szCs w:val="24"/>
          <w:lang w:eastAsia="en-US"/>
        </w:rPr>
        <w:t>Taagepera</w:t>
      </w:r>
      <w:proofErr w:type="spellEnd"/>
      <w:r w:rsidRPr="005B0A67">
        <w:rPr>
          <w:rFonts w:ascii="Garamond" w:eastAsia="Times New Roman" w:hAnsi="Garamond" w:cs="Times New Roman"/>
          <w:sz w:val="24"/>
          <w:szCs w:val="24"/>
          <w:lang w:eastAsia="en-US"/>
        </w:rPr>
        <w:t xml:space="preserve">, Rein. 1979. "Size and duration of empires:  growth-decline curves, 600 B.C. to 600 A.D." </w:t>
      </w:r>
      <w:r w:rsidRPr="005B0A67">
        <w:rPr>
          <w:rFonts w:ascii="Garamond" w:eastAsia="Times New Roman" w:hAnsi="Garamond" w:cs="Times New Roman"/>
          <w:i/>
          <w:sz w:val="24"/>
          <w:szCs w:val="24"/>
          <w:lang w:eastAsia="en-US"/>
        </w:rPr>
        <w:t>Social Science History</w:t>
      </w:r>
      <w:r w:rsidRPr="005B0A67">
        <w:rPr>
          <w:rFonts w:ascii="Garamond" w:eastAsia="Times New Roman" w:hAnsi="Garamond" w:cs="Times New Roman"/>
          <w:sz w:val="24"/>
          <w:szCs w:val="24"/>
          <w:lang w:eastAsia="en-US"/>
        </w:rPr>
        <w:t xml:space="preserve"> 3(3-4): 115-38. </w:t>
      </w:r>
      <w:hyperlink r:id="rId52" w:history="1">
        <w:r w:rsidRPr="005B0A67">
          <w:rPr>
            <w:rFonts w:ascii="Garamond" w:eastAsia="Times New Roman" w:hAnsi="Garamond" w:cs="Times New Roman"/>
            <w:color w:val="0000FF"/>
            <w:sz w:val="24"/>
            <w:szCs w:val="24"/>
            <w:u w:val="single"/>
            <w:lang w:eastAsia="en-US"/>
          </w:rPr>
          <w:t>http://www.jstor.org/pss/1170959</w:t>
        </w:r>
      </w:hyperlink>
    </w:p>
    <w:p w:rsidR="00414F52" w:rsidRPr="005B0A67" w:rsidRDefault="00414F52" w:rsidP="00414F52">
      <w:pPr>
        <w:ind w:left="720" w:hanging="720"/>
        <w:rPr>
          <w:rFonts w:ascii="Garamond" w:eastAsia="Times New Roman" w:hAnsi="Garamond" w:cs="Times New Roman"/>
          <w:sz w:val="24"/>
          <w:szCs w:val="24"/>
          <w:lang w:eastAsia="en-US"/>
        </w:rPr>
      </w:pPr>
      <w:proofErr w:type="spellStart"/>
      <w:r w:rsidRPr="005B0A67">
        <w:rPr>
          <w:rFonts w:ascii="Garamond" w:eastAsia="Times New Roman" w:hAnsi="Garamond" w:cs="Times New Roman"/>
          <w:sz w:val="24"/>
          <w:szCs w:val="24"/>
          <w:lang w:eastAsia="en-US"/>
        </w:rPr>
        <w:t>Taagepera</w:t>
      </w:r>
      <w:proofErr w:type="spellEnd"/>
      <w:r w:rsidRPr="005B0A67">
        <w:rPr>
          <w:rFonts w:ascii="Garamond" w:eastAsia="Times New Roman" w:hAnsi="Garamond" w:cs="Times New Roman"/>
          <w:sz w:val="24"/>
          <w:szCs w:val="24"/>
          <w:lang w:eastAsia="en-US"/>
        </w:rPr>
        <w:t xml:space="preserve">, Rein. 1997. “Expansion and contraction patterns of large polities:  context for Russia.” </w:t>
      </w:r>
      <w:r w:rsidRPr="005B0A67">
        <w:rPr>
          <w:rFonts w:ascii="Garamond" w:eastAsia="Times New Roman" w:hAnsi="Garamond" w:cs="Times New Roman"/>
          <w:i/>
          <w:sz w:val="24"/>
          <w:szCs w:val="24"/>
          <w:lang w:eastAsia="en-US"/>
        </w:rPr>
        <w:t>International Studies Quarterly</w:t>
      </w:r>
      <w:r w:rsidRPr="005B0A67">
        <w:rPr>
          <w:rFonts w:ascii="Garamond" w:eastAsia="Times New Roman" w:hAnsi="Garamond" w:cs="Times New Roman"/>
          <w:sz w:val="24"/>
          <w:szCs w:val="24"/>
          <w:lang w:eastAsia="en-US"/>
        </w:rPr>
        <w:t xml:space="preserve"> 41(3): 475-504. </w:t>
      </w:r>
      <w:hyperlink r:id="rId53" w:history="1">
        <w:r w:rsidRPr="005B0A67">
          <w:rPr>
            <w:rFonts w:ascii="Garamond" w:eastAsia="Times New Roman" w:hAnsi="Garamond" w:cs="Times New Roman"/>
            <w:color w:val="0000FF"/>
            <w:sz w:val="24"/>
            <w:szCs w:val="24"/>
            <w:u w:val="single"/>
            <w:lang w:eastAsia="en-US"/>
          </w:rPr>
          <w:t>http://onlinelibrary.wiley.com/doi/10.1111/0020-8833.00053/abstract</w:t>
        </w:r>
      </w:hyperlink>
    </w:p>
    <w:p w:rsidR="00414F52" w:rsidRPr="005B0A67" w:rsidRDefault="00414F52" w:rsidP="00414F52">
      <w:pPr>
        <w:ind w:left="720" w:hanging="720"/>
        <w:rPr>
          <w:rFonts w:ascii="Garamond" w:eastAsia="Times New Roman" w:hAnsi="Garamond" w:cs="Times New Roman"/>
          <w:sz w:val="24"/>
          <w:szCs w:val="24"/>
          <w:lang w:eastAsia="en-US"/>
        </w:rPr>
      </w:pPr>
      <w:proofErr w:type="spellStart"/>
      <w:r w:rsidRPr="005B0A67">
        <w:rPr>
          <w:rFonts w:ascii="Garamond" w:eastAsia="Times New Roman" w:hAnsi="Garamond" w:cs="Times New Roman"/>
          <w:sz w:val="24"/>
          <w:szCs w:val="24"/>
          <w:lang w:eastAsia="en-US"/>
        </w:rPr>
        <w:t>Tainter</w:t>
      </w:r>
      <w:proofErr w:type="spellEnd"/>
      <w:r w:rsidRPr="005B0A67">
        <w:rPr>
          <w:rFonts w:ascii="Garamond" w:eastAsia="Times New Roman" w:hAnsi="Garamond" w:cs="Times New Roman"/>
          <w:sz w:val="24"/>
          <w:szCs w:val="24"/>
          <w:lang w:eastAsia="en-US"/>
        </w:rPr>
        <w:t xml:space="preserve">, Joseph. 1988. </w:t>
      </w:r>
      <w:r w:rsidRPr="005B0A67">
        <w:rPr>
          <w:rFonts w:ascii="Garamond" w:eastAsia="Times New Roman" w:hAnsi="Garamond" w:cs="Times New Roman"/>
          <w:i/>
          <w:sz w:val="24"/>
          <w:szCs w:val="24"/>
          <w:lang w:eastAsia="en-US"/>
        </w:rPr>
        <w:t>The Collapse of Complex Societies</w:t>
      </w:r>
      <w:r w:rsidRPr="005B0A67">
        <w:rPr>
          <w:rFonts w:ascii="Garamond" w:eastAsia="Times New Roman" w:hAnsi="Garamond" w:cs="Times New Roman"/>
          <w:sz w:val="24"/>
          <w:szCs w:val="24"/>
          <w:lang w:eastAsia="en-US"/>
        </w:rPr>
        <w:t>. Cambridge: Cambridge University Press.</w:t>
      </w:r>
    </w:p>
    <w:p w:rsidR="004263DA" w:rsidRDefault="004263DA" w:rsidP="00414F52">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Teggart</w:t>
      </w:r>
      <w:proofErr w:type="spellEnd"/>
      <w:r w:rsidRPr="005B0A67">
        <w:rPr>
          <w:rFonts w:ascii="Garamond" w:eastAsia="Times New Roman" w:hAnsi="Garamond" w:cs="Times New Roman"/>
          <w:color w:val="000000"/>
          <w:sz w:val="24"/>
          <w:szCs w:val="24"/>
          <w:lang w:eastAsia="en-US"/>
        </w:rPr>
        <w:t>, Frederick J. 1939 </w:t>
      </w:r>
      <w:r w:rsidRPr="005B0A67">
        <w:rPr>
          <w:rFonts w:ascii="Garamond" w:eastAsia="Times New Roman" w:hAnsi="Garamond" w:cs="Times New Roman"/>
          <w:i/>
          <w:iCs/>
          <w:color w:val="000000"/>
          <w:sz w:val="24"/>
          <w:szCs w:val="24"/>
          <w:lang w:eastAsia="en-US"/>
        </w:rPr>
        <w:t>Rome and China: A Study of Correlations in Historical Events</w:t>
      </w:r>
      <w:r w:rsidRPr="005B0A67">
        <w:rPr>
          <w:rFonts w:ascii="Garamond" w:eastAsia="Times New Roman" w:hAnsi="Garamond" w:cs="Times New Roman"/>
          <w:color w:val="000000"/>
          <w:sz w:val="24"/>
          <w:szCs w:val="24"/>
          <w:lang w:eastAsia="en-US"/>
        </w:rPr>
        <w:t> Berkeley:</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University of California Press.</w:t>
      </w:r>
    </w:p>
    <w:p w:rsidR="00B055AA" w:rsidRDefault="00B055AA" w:rsidP="00B055AA">
      <w:pPr>
        <w:rPr>
          <w:color w:val="0000FF" w:themeColor="hyperlink"/>
          <w:u w:val="single"/>
        </w:rPr>
      </w:pPr>
      <w:r w:rsidRPr="00B055AA">
        <w:rPr>
          <w:rFonts w:ascii="Garamond" w:hAnsi="Garamond" w:cs="Courier New"/>
          <w:color w:val="000000"/>
          <w:sz w:val="24"/>
          <w:szCs w:val="24"/>
        </w:rPr>
        <w:t>Territory of polities since 3150 BCE</w:t>
      </w:r>
      <w:r w:rsidRPr="007C3BB1">
        <w:rPr>
          <w:rFonts w:ascii="Courier New" w:hAnsi="Courier New" w:cs="Courier New"/>
          <w:color w:val="000000"/>
        </w:rPr>
        <w:t xml:space="preserve"> </w:t>
      </w:r>
      <w:hyperlink r:id="rId54" w:history="1">
        <w:r w:rsidRPr="007C3BB1">
          <w:rPr>
            <w:color w:val="0000FF" w:themeColor="hyperlink"/>
            <w:u w:val="single"/>
          </w:rPr>
          <w:t>https://www.youtube.com/watch?v=ymI5Uv5cGU4&amp;feature=em-share_video_user</w:t>
        </w:r>
      </w:hyperlink>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Tilly, Charles.  1990.  </w:t>
      </w:r>
      <w:r w:rsidRPr="005B0A67">
        <w:rPr>
          <w:rFonts w:ascii="Garamond" w:eastAsia="Times New Roman" w:hAnsi="Garamond" w:cs="Times New Roman"/>
          <w:i/>
          <w:iCs/>
          <w:color w:val="000000"/>
          <w:sz w:val="24"/>
          <w:szCs w:val="24"/>
          <w:lang w:eastAsia="en-US"/>
        </w:rPr>
        <w:t>Coercion, Capital, and European States, AD 990-1990</w:t>
      </w:r>
      <w:r w:rsidRPr="005B0A67">
        <w:rPr>
          <w:rFonts w:ascii="Garamond" w:eastAsia="Times New Roman" w:hAnsi="Garamond" w:cs="Times New Roman"/>
          <w:color w:val="000000"/>
          <w:sz w:val="24"/>
          <w:szCs w:val="24"/>
          <w:lang w:eastAsia="en-US"/>
        </w:rPr>
        <w:t>. Cambridge, MA: Basil Blackwell</w:t>
      </w:r>
      <w:r w:rsidR="00696473" w:rsidRPr="005B0A67">
        <w:rPr>
          <w:rFonts w:ascii="Garamond" w:eastAsia="Times New Roman" w:hAnsi="Garamond" w:cs="Times New Roman"/>
          <w:color w:val="000000"/>
          <w:sz w:val="24"/>
          <w:szCs w:val="24"/>
          <w:lang w:eastAsia="en-US"/>
        </w:rPr>
        <w:t>.</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Turchin,Peter</w:t>
      </w:r>
      <w:proofErr w:type="spellEnd"/>
      <w:r w:rsidRPr="005B0A67">
        <w:rPr>
          <w:rFonts w:ascii="Garamond" w:eastAsia="Times New Roman" w:hAnsi="Garamond" w:cs="Times New Roman"/>
          <w:color w:val="000000"/>
          <w:sz w:val="24"/>
          <w:szCs w:val="24"/>
          <w:lang w:eastAsia="en-US"/>
        </w:rPr>
        <w:t> 2011 . Strange Parallels: Patterns in Eurasian Social Evolution . </w:t>
      </w:r>
      <w:r w:rsidRPr="005B0A67">
        <w:rPr>
          <w:rFonts w:ascii="Garamond" w:eastAsia="Times New Roman" w:hAnsi="Garamond" w:cs="Times New Roman"/>
          <w:i/>
          <w:iCs/>
          <w:color w:val="000000"/>
          <w:sz w:val="24"/>
          <w:szCs w:val="24"/>
          <w:lang w:eastAsia="en-US"/>
        </w:rPr>
        <w:t>Journal</w:t>
      </w:r>
      <w:r w:rsidR="00696473"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of World Systems Research</w:t>
      </w:r>
      <w:r w:rsidRPr="005B0A67">
        <w:rPr>
          <w:rFonts w:ascii="Garamond" w:eastAsia="Times New Roman" w:hAnsi="Garamond" w:cs="Times New Roman"/>
          <w:color w:val="000000"/>
          <w:sz w:val="24"/>
          <w:szCs w:val="24"/>
          <w:lang w:eastAsia="en-US"/>
        </w:rPr>
        <w:t> 17(2):538-552</w:t>
      </w:r>
      <w:r w:rsidR="00696473" w:rsidRPr="005B0A67">
        <w:rPr>
          <w:rFonts w:ascii="Garamond" w:eastAsia="Times New Roman" w:hAnsi="Garamond" w:cs="Times New Roman"/>
          <w:color w:val="000000"/>
          <w:sz w:val="24"/>
          <w:szCs w:val="24"/>
          <w:lang w:eastAsia="en-US"/>
        </w:rPr>
        <w:t>.</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Turchin</w:t>
      </w:r>
      <w:proofErr w:type="spellEnd"/>
      <w:r w:rsidRPr="005B0A67">
        <w:rPr>
          <w:rFonts w:ascii="Garamond" w:eastAsia="Times New Roman" w:hAnsi="Garamond" w:cs="Times New Roman"/>
          <w:color w:val="000000"/>
          <w:sz w:val="24"/>
          <w:szCs w:val="24"/>
          <w:lang w:eastAsia="en-US"/>
        </w:rPr>
        <w:t xml:space="preserve">, Peter, Jonathan M. Adams, and Thomas D. </w:t>
      </w:r>
      <w:r w:rsidR="001669C4" w:rsidRPr="005B0A67">
        <w:rPr>
          <w:rFonts w:ascii="Garamond" w:eastAsia="Times New Roman" w:hAnsi="Garamond" w:cs="Times New Roman"/>
          <w:color w:val="000000"/>
          <w:sz w:val="24"/>
          <w:szCs w:val="24"/>
          <w:lang w:eastAsia="en-US"/>
        </w:rPr>
        <w:t xml:space="preserve">Hall </w:t>
      </w:r>
      <w:r w:rsidRPr="005B0A67">
        <w:rPr>
          <w:rFonts w:ascii="Garamond" w:eastAsia="Times New Roman" w:hAnsi="Garamond" w:cs="Times New Roman"/>
          <w:color w:val="000000"/>
          <w:sz w:val="24"/>
          <w:szCs w:val="24"/>
          <w:lang w:eastAsia="en-US"/>
        </w:rPr>
        <w:t>2006. “East-West Orientation of</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Historical Empires and Modern States.” </w:t>
      </w:r>
      <w:r w:rsidRPr="005B0A67">
        <w:rPr>
          <w:rFonts w:ascii="Garamond" w:eastAsia="Times New Roman" w:hAnsi="Garamond" w:cs="Times New Roman"/>
          <w:i/>
          <w:iCs/>
          <w:color w:val="000000"/>
          <w:sz w:val="24"/>
          <w:szCs w:val="24"/>
          <w:lang w:eastAsia="en-US"/>
        </w:rPr>
        <w:t>Journal of World-Systems Research. </w:t>
      </w:r>
      <w:r w:rsidRPr="005B0A67">
        <w:rPr>
          <w:rFonts w:ascii="Garamond" w:eastAsia="Times New Roman" w:hAnsi="Garamond" w:cs="Times New Roman"/>
          <w:color w:val="000000"/>
          <w:sz w:val="24"/>
          <w:szCs w:val="24"/>
          <w:lang w:eastAsia="en-US"/>
        </w:rPr>
        <w:t>12:2(December):218-229.</w:t>
      </w:r>
    </w:p>
    <w:p w:rsidR="004263DA" w:rsidRPr="005B0A67" w:rsidRDefault="00696473"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and Sergey </w:t>
      </w:r>
      <w:proofErr w:type="spellStart"/>
      <w:r w:rsidR="004263DA" w:rsidRPr="005B0A67">
        <w:rPr>
          <w:rFonts w:ascii="Garamond" w:eastAsia="Times New Roman" w:hAnsi="Garamond" w:cs="Times New Roman"/>
          <w:color w:val="000000"/>
          <w:sz w:val="24"/>
          <w:szCs w:val="24"/>
          <w:lang w:eastAsia="en-US"/>
        </w:rPr>
        <w:t>Gavrilets</w:t>
      </w:r>
      <w:proofErr w:type="spellEnd"/>
      <w:r w:rsidR="004263DA" w:rsidRPr="005B0A67">
        <w:rPr>
          <w:rFonts w:ascii="Garamond" w:eastAsia="Times New Roman" w:hAnsi="Garamond" w:cs="Times New Roman"/>
          <w:color w:val="000000"/>
          <w:sz w:val="24"/>
          <w:szCs w:val="24"/>
          <w:lang w:eastAsia="en-US"/>
        </w:rPr>
        <w:t> 2009 “The evolution of complex hierarchical societies”</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            </w:t>
      </w:r>
      <w:r w:rsidRPr="005B0A67">
        <w:rPr>
          <w:rFonts w:ascii="Garamond" w:eastAsia="Times New Roman" w:hAnsi="Garamond" w:cs="Times New Roman"/>
          <w:i/>
          <w:iCs/>
          <w:color w:val="000000"/>
          <w:sz w:val="24"/>
          <w:szCs w:val="24"/>
          <w:lang w:eastAsia="en-US"/>
        </w:rPr>
        <w:t>Social Evolution &amp; History</w:t>
      </w:r>
      <w:r w:rsidRPr="005B0A67">
        <w:rPr>
          <w:rFonts w:ascii="Garamond" w:eastAsia="Times New Roman" w:hAnsi="Garamond" w:cs="Times New Roman"/>
          <w:color w:val="000000"/>
          <w:sz w:val="24"/>
          <w:szCs w:val="24"/>
          <w:lang w:eastAsia="en-US"/>
        </w:rPr>
        <w:t>, Vol. 8 No. 2, September: 167–198.</w:t>
      </w:r>
    </w:p>
    <w:p w:rsidR="004263DA" w:rsidRPr="005B0A67" w:rsidRDefault="00696473" w:rsidP="00696473">
      <w:pPr>
        <w:ind w:left="720" w:hanging="720"/>
        <w:rPr>
          <w:rFonts w:ascii="Garamond" w:eastAsia="Times New Roman" w:hAnsi="Garamond" w:cs="Times New Roman"/>
          <w:color w:val="800080"/>
          <w:sz w:val="24"/>
          <w:szCs w:val="24"/>
          <w:u w:val="single"/>
          <w:lang w:eastAsia="en-US"/>
        </w:rPr>
      </w:pPr>
      <w:r w:rsidRPr="005B0A67">
        <w:rPr>
          <w:rFonts w:ascii="Garamond" w:eastAsia="Times New Roman" w:hAnsi="Garamond" w:cs="Times New Roman"/>
          <w:color w:val="000000"/>
          <w:sz w:val="24"/>
          <w:szCs w:val="24"/>
          <w:lang w:eastAsia="en-US"/>
        </w:rPr>
        <w:t xml:space="preserve">______ . </w:t>
      </w:r>
      <w:r w:rsidR="004263DA" w:rsidRPr="005B0A67">
        <w:rPr>
          <w:rFonts w:ascii="Garamond" w:eastAsia="Times New Roman" w:hAnsi="Garamond" w:cs="Times New Roman"/>
          <w:color w:val="000000"/>
          <w:sz w:val="24"/>
          <w:szCs w:val="24"/>
          <w:lang w:eastAsia="en-US"/>
        </w:rPr>
        <w:t>Thomas </w:t>
      </w:r>
      <w:proofErr w:type="spellStart"/>
      <w:r w:rsidR="004263DA" w:rsidRPr="005B0A67">
        <w:rPr>
          <w:rFonts w:ascii="Garamond" w:eastAsia="Times New Roman" w:hAnsi="Garamond" w:cs="Times New Roman"/>
          <w:color w:val="000000"/>
          <w:sz w:val="24"/>
          <w:szCs w:val="24"/>
          <w:lang w:eastAsia="en-US"/>
        </w:rPr>
        <w:t>E.Currie</w:t>
      </w:r>
      <w:proofErr w:type="spellEnd"/>
      <w:r w:rsidR="004263DA" w:rsidRPr="005B0A67">
        <w:rPr>
          <w:rFonts w:ascii="Garamond" w:eastAsia="Times New Roman" w:hAnsi="Garamond" w:cs="Times New Roman"/>
          <w:color w:val="000000"/>
          <w:sz w:val="24"/>
          <w:szCs w:val="24"/>
          <w:lang w:eastAsia="en-US"/>
        </w:rPr>
        <w:t>, Edward A.L. Turner and Sergey </w:t>
      </w:r>
      <w:proofErr w:type="spellStart"/>
      <w:r w:rsidR="004263DA" w:rsidRPr="005B0A67">
        <w:rPr>
          <w:rFonts w:ascii="Garamond" w:eastAsia="Times New Roman" w:hAnsi="Garamond" w:cs="Times New Roman"/>
          <w:color w:val="000000"/>
          <w:sz w:val="24"/>
          <w:szCs w:val="24"/>
          <w:lang w:eastAsia="en-US"/>
        </w:rPr>
        <w:t>Gavrilets</w:t>
      </w:r>
      <w:proofErr w:type="spellEnd"/>
      <w:r w:rsidR="004263DA" w:rsidRPr="005B0A67">
        <w:rPr>
          <w:rFonts w:ascii="Garamond" w:eastAsia="Times New Roman" w:hAnsi="Garamond" w:cs="Times New Roman"/>
          <w:color w:val="000000"/>
          <w:sz w:val="24"/>
          <w:szCs w:val="24"/>
          <w:lang w:eastAsia="en-US"/>
        </w:rPr>
        <w:t> 2013</w:t>
      </w:r>
      <w:r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kern w:val="36"/>
          <w:sz w:val="24"/>
          <w:szCs w:val="24"/>
          <w:lang w:eastAsia="en-US"/>
        </w:rPr>
        <w:t>“War, space, and the evolution of Old World complex societies”</w:t>
      </w:r>
      <w:r w:rsidRPr="005B0A67">
        <w:rPr>
          <w:rFonts w:ascii="Garamond" w:eastAsia="Times New Roman" w:hAnsi="Garamond" w:cs="Times New Roman"/>
          <w:color w:val="000000"/>
          <w:kern w:val="36"/>
          <w:sz w:val="24"/>
          <w:szCs w:val="24"/>
          <w:lang w:eastAsia="en-US"/>
        </w:rPr>
        <w:t xml:space="preserve"> </w:t>
      </w:r>
      <w:r w:rsidR="004263DA" w:rsidRPr="005B0A67">
        <w:rPr>
          <w:rFonts w:ascii="Garamond" w:eastAsia="Times New Roman" w:hAnsi="Garamond" w:cs="Times New Roman"/>
          <w:i/>
          <w:iCs/>
          <w:color w:val="000000"/>
          <w:sz w:val="24"/>
          <w:szCs w:val="24"/>
          <w:lang w:eastAsia="en-US"/>
        </w:rPr>
        <w:t>PNAS </w:t>
      </w:r>
      <w:r w:rsidR="004263DA" w:rsidRPr="005B0A67">
        <w:rPr>
          <w:rFonts w:ascii="Garamond" w:eastAsia="Times New Roman" w:hAnsi="Garamond" w:cs="Times New Roman"/>
          <w:color w:val="000000"/>
          <w:sz w:val="24"/>
          <w:szCs w:val="24"/>
          <w:lang w:eastAsia="en-US"/>
        </w:rPr>
        <w:t>October vol. 110 no. 41: 16384–16389</w:t>
      </w:r>
      <w:r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Appendix: </w:t>
      </w:r>
      <w:hyperlink r:id="rId55" w:history="1">
        <w:r w:rsidR="004263DA" w:rsidRPr="005B0A67">
          <w:rPr>
            <w:rFonts w:ascii="Garamond" w:eastAsia="Times New Roman" w:hAnsi="Garamond" w:cs="Times New Roman"/>
            <w:color w:val="800080"/>
            <w:sz w:val="24"/>
            <w:szCs w:val="24"/>
            <w:u w:val="single"/>
            <w:lang w:eastAsia="en-US"/>
          </w:rPr>
          <w:t>http://www.pnas.org/content/suppl/2013/09/20/1308825110.DCSupplemental/sapp.pdf</w:t>
        </w:r>
      </w:hyperlink>
    </w:p>
    <w:p w:rsidR="001669C4" w:rsidRPr="005B0A67" w:rsidRDefault="001669C4" w:rsidP="00696473">
      <w:pPr>
        <w:ind w:left="720" w:hanging="720"/>
        <w:rPr>
          <w:rFonts w:ascii="Garamond" w:eastAsia="Times New Roman" w:hAnsi="Garamond" w:cs="Times New Roman"/>
          <w:color w:val="000000"/>
          <w:sz w:val="24"/>
          <w:szCs w:val="24"/>
          <w:lang w:eastAsia="en-US"/>
        </w:rPr>
      </w:pPr>
      <w:proofErr w:type="spellStart"/>
      <w:r w:rsidRPr="005B0A67">
        <w:rPr>
          <w:rStyle w:val="spelle"/>
          <w:rFonts w:ascii="Garamond" w:hAnsi="Garamond"/>
          <w:color w:val="000000"/>
          <w:sz w:val="24"/>
          <w:szCs w:val="24"/>
        </w:rPr>
        <w:t>Turchin</w:t>
      </w:r>
      <w:proofErr w:type="spellEnd"/>
      <w:r w:rsidRPr="005B0A67">
        <w:rPr>
          <w:rFonts w:ascii="Garamond" w:hAnsi="Garamond"/>
          <w:color w:val="000000"/>
          <w:sz w:val="24"/>
          <w:szCs w:val="24"/>
        </w:rPr>
        <w:t>, Peter and Sergey</w:t>
      </w:r>
      <w:r w:rsidRPr="005B0A67">
        <w:rPr>
          <w:rStyle w:val="apple-converted-space"/>
          <w:rFonts w:ascii="Garamond" w:hAnsi="Garamond"/>
          <w:color w:val="000000"/>
          <w:sz w:val="24"/>
          <w:szCs w:val="24"/>
        </w:rPr>
        <w:t> </w:t>
      </w:r>
      <w:proofErr w:type="spellStart"/>
      <w:r w:rsidRPr="005B0A67">
        <w:rPr>
          <w:rStyle w:val="spelle"/>
          <w:rFonts w:ascii="Garamond" w:hAnsi="Garamond"/>
          <w:color w:val="000000"/>
          <w:sz w:val="24"/>
          <w:szCs w:val="24"/>
        </w:rPr>
        <w:t>Nefadov</w:t>
      </w:r>
      <w:proofErr w:type="spellEnd"/>
      <w:r w:rsidRPr="005B0A67">
        <w:rPr>
          <w:rStyle w:val="apple-converted-space"/>
          <w:rFonts w:ascii="Garamond" w:hAnsi="Garamond"/>
          <w:color w:val="000000"/>
          <w:sz w:val="24"/>
          <w:szCs w:val="24"/>
        </w:rPr>
        <w:t> </w:t>
      </w:r>
      <w:r w:rsidRPr="005B0A67">
        <w:rPr>
          <w:rFonts w:ascii="Garamond" w:hAnsi="Garamond"/>
          <w:color w:val="000000"/>
          <w:sz w:val="24"/>
          <w:szCs w:val="24"/>
        </w:rPr>
        <w:t>2009</w:t>
      </w:r>
      <w:r w:rsidRPr="005B0A67">
        <w:rPr>
          <w:rStyle w:val="apple-converted-space"/>
          <w:rFonts w:ascii="Garamond" w:hAnsi="Garamond"/>
          <w:color w:val="000000"/>
          <w:sz w:val="24"/>
          <w:szCs w:val="24"/>
        </w:rPr>
        <w:t> </w:t>
      </w:r>
      <w:r w:rsidRPr="005B0A67">
        <w:rPr>
          <w:rFonts w:ascii="Garamond" w:hAnsi="Garamond"/>
          <w:i/>
          <w:iCs/>
          <w:color w:val="000000"/>
          <w:sz w:val="24"/>
          <w:szCs w:val="24"/>
        </w:rPr>
        <w:t>Secular Cycles</w:t>
      </w:r>
      <w:r w:rsidRPr="005B0A67">
        <w:rPr>
          <w:rStyle w:val="apple-converted-space"/>
          <w:rFonts w:ascii="Garamond" w:hAnsi="Garamond"/>
          <w:i/>
          <w:iCs/>
          <w:color w:val="000000"/>
          <w:sz w:val="24"/>
          <w:szCs w:val="24"/>
        </w:rPr>
        <w:t> </w:t>
      </w:r>
      <w:r w:rsidRPr="005B0A67">
        <w:rPr>
          <w:rFonts w:ascii="Garamond" w:hAnsi="Garamond"/>
          <w:color w:val="000000"/>
          <w:sz w:val="24"/>
          <w:szCs w:val="24"/>
        </w:rPr>
        <w:t>Princeton, NJ: Princeton University Press.</w:t>
      </w:r>
    </w:p>
    <w:p w:rsidR="004263DA" w:rsidRPr="005B0A67" w:rsidRDefault="004263DA" w:rsidP="00696473">
      <w:pPr>
        <w:ind w:left="720" w:hanging="720"/>
        <w:jc w:val="both"/>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United Nations 2011a Data on Cities and Urban Agglomerations</w:t>
      </w:r>
      <w:r w:rsidR="00696473" w:rsidRPr="005B0A67">
        <w:rPr>
          <w:rFonts w:ascii="Garamond" w:eastAsia="Times New Roman" w:hAnsi="Garamond" w:cs="Times New Roman"/>
          <w:color w:val="000000"/>
          <w:sz w:val="24"/>
          <w:szCs w:val="24"/>
          <w:lang w:eastAsia="en-US"/>
        </w:rPr>
        <w:t xml:space="preserve"> </w:t>
      </w:r>
      <w:hyperlink r:id="rId56" w:tgtFrame="_blank" w:history="1">
        <w:r w:rsidRPr="005B0A67">
          <w:rPr>
            <w:rFonts w:ascii="Garamond" w:eastAsia="Times New Roman" w:hAnsi="Garamond" w:cs="Times New Roman"/>
            <w:color w:val="800080"/>
            <w:sz w:val="24"/>
            <w:szCs w:val="24"/>
            <w:u w:val="single"/>
            <w:lang w:eastAsia="en-US"/>
          </w:rPr>
          <w:t>http://esa.un.org/unpd/wup/CD-ROM/</w:t>
        </w:r>
      </w:hyperlink>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United Nations 2011b</w:t>
      </w:r>
      <w:r w:rsidRPr="005B0A67">
        <w:rPr>
          <w:rFonts w:ascii="Garamond" w:eastAsia="Times New Roman" w:hAnsi="Garamond" w:cs="Arial"/>
          <w:color w:val="000000"/>
          <w:sz w:val="24"/>
          <w:szCs w:val="24"/>
          <w:lang w:eastAsia="en-US"/>
        </w:rPr>
        <w:t> </w:t>
      </w:r>
      <w:r w:rsidRPr="005B0A67">
        <w:rPr>
          <w:rFonts w:ascii="Garamond" w:eastAsia="Times New Roman" w:hAnsi="Garamond" w:cs="Times New Roman"/>
          <w:color w:val="000000"/>
          <w:sz w:val="24"/>
          <w:szCs w:val="24"/>
          <w:lang w:eastAsia="en-US"/>
        </w:rPr>
        <w:t>World Urbanization Prospects: The 2011 Revision:</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Methodology  </w:t>
      </w:r>
      <w:hyperlink r:id="rId57" w:history="1">
        <w:r w:rsidRPr="005B0A67">
          <w:rPr>
            <w:rFonts w:ascii="Garamond" w:eastAsia="Times New Roman" w:hAnsi="Garamond" w:cs="Times New Roman"/>
            <w:color w:val="800080"/>
            <w:sz w:val="24"/>
            <w:szCs w:val="24"/>
            <w:u w:val="single"/>
            <w:lang w:eastAsia="en-US"/>
          </w:rPr>
          <w:t>http://esa.un.org/unpd/wup/pdf/WUP2011_Methodology.pdf</w:t>
        </w:r>
      </w:hyperlink>
    </w:p>
    <w:p w:rsidR="0036146F"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United Nations: Department of Economic and Social Affairs, “Annual Population of Urban</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Agglomerations with 300,000 in habitants or more” </w:t>
      </w:r>
      <w:hyperlink r:id="rId58" w:history="1">
        <w:r w:rsidRPr="005B0A67">
          <w:rPr>
            <w:rFonts w:ascii="Garamond" w:eastAsia="Times New Roman" w:hAnsi="Garamond" w:cs="Courier New"/>
            <w:color w:val="800080"/>
            <w:sz w:val="24"/>
            <w:szCs w:val="24"/>
            <w:u w:val="single"/>
            <w:lang w:eastAsia="en-US"/>
          </w:rPr>
          <w:t>http://esa.un.org/unpd/wup/DataQuery/</w:t>
        </w:r>
      </w:hyperlink>
    </w:p>
    <w:p w:rsidR="004263DA"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Wallerstein, Immanuel 2011 [1974] </w:t>
      </w:r>
      <w:r w:rsidRPr="005B0A67">
        <w:rPr>
          <w:rFonts w:ascii="Garamond" w:eastAsia="Times New Roman" w:hAnsi="Garamond" w:cs="Times New Roman"/>
          <w:i/>
          <w:iCs/>
          <w:color w:val="000000"/>
          <w:sz w:val="24"/>
          <w:szCs w:val="24"/>
          <w:lang w:eastAsia="en-US"/>
        </w:rPr>
        <w:t>The Modern World-System</w:t>
      </w:r>
      <w:r w:rsidRPr="005B0A67">
        <w:rPr>
          <w:rFonts w:ascii="Garamond" w:eastAsia="Times New Roman" w:hAnsi="Garamond" w:cs="Times New Roman"/>
          <w:color w:val="000000"/>
          <w:sz w:val="24"/>
          <w:szCs w:val="24"/>
          <w:lang w:eastAsia="en-US"/>
        </w:rPr>
        <w:t>, Volume 1. Berkeley:  University of California Press. </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Walters, Pamela </w:t>
      </w:r>
      <w:proofErr w:type="spellStart"/>
      <w:r w:rsidRPr="005B0A67">
        <w:rPr>
          <w:rFonts w:ascii="Garamond" w:eastAsia="Times New Roman" w:hAnsi="Garamond" w:cs="Times New Roman"/>
          <w:color w:val="000000"/>
          <w:sz w:val="24"/>
          <w:szCs w:val="24"/>
          <w:lang w:eastAsia="en-US"/>
        </w:rPr>
        <w:t>Barnhouse</w:t>
      </w:r>
      <w:proofErr w:type="spellEnd"/>
      <w:r w:rsidRPr="005B0A67">
        <w:rPr>
          <w:rFonts w:ascii="Garamond" w:eastAsia="Times New Roman" w:hAnsi="Garamond" w:cs="Times New Roman"/>
          <w:color w:val="000000"/>
          <w:sz w:val="24"/>
          <w:szCs w:val="24"/>
          <w:lang w:eastAsia="en-US"/>
        </w:rPr>
        <w:t> 1985 "Systems of cities and urban primacy: problems of</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definition and measurement." Pp.63-86 in Michael Timberlake (ed.) </w:t>
      </w:r>
      <w:r w:rsidRPr="005B0A67">
        <w:rPr>
          <w:rFonts w:ascii="Garamond" w:eastAsia="Times New Roman" w:hAnsi="Garamond" w:cs="Times New Roman"/>
          <w:i/>
          <w:iCs/>
          <w:color w:val="000000"/>
          <w:sz w:val="24"/>
          <w:szCs w:val="24"/>
          <w:lang w:eastAsia="en-US"/>
        </w:rPr>
        <w:t>Urbanization in</w:t>
      </w:r>
      <w:r w:rsidR="00696473"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the World-Economy</w:t>
      </w:r>
      <w:r w:rsidRPr="005B0A67">
        <w:rPr>
          <w:rFonts w:ascii="Garamond" w:eastAsia="Times New Roman" w:hAnsi="Garamond" w:cs="Times New Roman"/>
          <w:color w:val="000000"/>
          <w:sz w:val="24"/>
          <w:szCs w:val="24"/>
          <w:lang w:eastAsia="en-US"/>
        </w:rPr>
        <w:t>, New York: Academic Press. </w:t>
      </w:r>
    </w:p>
    <w:p w:rsidR="00207654" w:rsidRPr="005B0A67" w:rsidRDefault="00207654" w:rsidP="00207654">
      <w:pPr>
        <w:ind w:left="720" w:hanging="720"/>
        <w:rPr>
          <w:rFonts w:ascii="Garamond" w:hAnsi="Garamond" w:cs="Arial Unicode MS"/>
          <w:sz w:val="24"/>
          <w:szCs w:val="24"/>
        </w:rPr>
      </w:pPr>
      <w:r w:rsidRPr="005B0A67">
        <w:rPr>
          <w:rFonts w:ascii="Garamond" w:hAnsi="Garamond" w:cs="Arial Unicode MS"/>
          <w:sz w:val="24"/>
          <w:szCs w:val="24"/>
        </w:rPr>
        <w:t xml:space="preserve">Wheatley, Paul 1983 </w:t>
      </w:r>
      <w:proofErr w:type="spellStart"/>
      <w:r w:rsidRPr="005B0A67">
        <w:rPr>
          <w:rFonts w:ascii="Garamond" w:hAnsi="Garamond" w:cs="Arial Unicode MS"/>
          <w:i/>
          <w:sz w:val="24"/>
          <w:szCs w:val="24"/>
        </w:rPr>
        <w:t>Nagara</w:t>
      </w:r>
      <w:proofErr w:type="spellEnd"/>
      <w:r w:rsidRPr="005B0A67">
        <w:rPr>
          <w:rFonts w:ascii="Garamond" w:hAnsi="Garamond" w:cs="Arial Unicode MS"/>
          <w:i/>
          <w:sz w:val="24"/>
          <w:szCs w:val="24"/>
        </w:rPr>
        <w:t xml:space="preserve"> and </w:t>
      </w:r>
      <w:proofErr w:type="spellStart"/>
      <w:r w:rsidRPr="005B0A67">
        <w:rPr>
          <w:rFonts w:ascii="Garamond" w:hAnsi="Garamond" w:cs="Arial Unicode MS"/>
          <w:i/>
          <w:sz w:val="24"/>
          <w:szCs w:val="24"/>
        </w:rPr>
        <w:t>Commandery</w:t>
      </w:r>
      <w:proofErr w:type="spellEnd"/>
      <w:r w:rsidRPr="005B0A67">
        <w:rPr>
          <w:rFonts w:ascii="Garamond" w:hAnsi="Garamond" w:cs="Arial Unicode MS"/>
          <w:i/>
          <w:sz w:val="24"/>
          <w:szCs w:val="24"/>
        </w:rPr>
        <w:t>: Origins of the Southeast Asian Urban Traditions</w:t>
      </w:r>
      <w:r w:rsidRPr="005B0A67">
        <w:rPr>
          <w:rFonts w:ascii="Garamond" w:hAnsi="Garamond" w:cs="Arial Unicode MS"/>
          <w:sz w:val="24"/>
          <w:szCs w:val="24"/>
        </w:rPr>
        <w:t>. Chicago: University of Chicago Department of Geography. Research Paper #s 207-208.</w:t>
      </w:r>
    </w:p>
    <w:p w:rsidR="00207654" w:rsidRPr="005B0A67" w:rsidRDefault="00207654" w:rsidP="00207654">
      <w:pPr>
        <w:ind w:left="720" w:hanging="720"/>
        <w:rPr>
          <w:rFonts w:ascii="Garamond" w:hAnsi="Garamond" w:cs="Arial Unicode MS"/>
          <w:sz w:val="24"/>
          <w:szCs w:val="24"/>
        </w:rPr>
      </w:pPr>
      <w:r w:rsidRPr="005B0A67">
        <w:rPr>
          <w:rFonts w:ascii="Garamond" w:hAnsi="Garamond" w:cs="Arial Unicode MS"/>
          <w:sz w:val="24"/>
          <w:szCs w:val="24"/>
        </w:rPr>
        <w:t xml:space="preserve">White, D. R., </w:t>
      </w:r>
      <w:proofErr w:type="spellStart"/>
      <w:r w:rsidRPr="005B0A67">
        <w:rPr>
          <w:rFonts w:ascii="Garamond" w:hAnsi="Garamond" w:cs="Arial Unicode MS"/>
          <w:sz w:val="24"/>
          <w:szCs w:val="24"/>
        </w:rPr>
        <w:t>Natasa</w:t>
      </w:r>
      <w:proofErr w:type="spellEnd"/>
      <w:r w:rsidRPr="005B0A67">
        <w:rPr>
          <w:rFonts w:ascii="Garamond" w:hAnsi="Garamond" w:cs="Arial Unicode MS"/>
          <w:sz w:val="24"/>
          <w:szCs w:val="24"/>
        </w:rPr>
        <w:t xml:space="preserve"> </w:t>
      </w:r>
      <w:proofErr w:type="spellStart"/>
      <w:r w:rsidRPr="005B0A67">
        <w:rPr>
          <w:rFonts w:ascii="Garamond" w:hAnsi="Garamond" w:cs="Arial Unicode MS"/>
          <w:sz w:val="24"/>
          <w:szCs w:val="24"/>
        </w:rPr>
        <w:t>Kejzar</w:t>
      </w:r>
      <w:proofErr w:type="spellEnd"/>
      <w:r w:rsidRPr="005B0A67">
        <w:rPr>
          <w:rFonts w:ascii="Garamond" w:hAnsi="Garamond" w:cs="Arial Unicode MS"/>
          <w:sz w:val="24"/>
          <w:szCs w:val="24"/>
        </w:rPr>
        <w:t xml:space="preserve"> and Laurent </w:t>
      </w:r>
      <w:proofErr w:type="spellStart"/>
      <w:r w:rsidRPr="005B0A67">
        <w:rPr>
          <w:rFonts w:ascii="Garamond" w:hAnsi="Garamond" w:cs="Arial Unicode MS"/>
          <w:sz w:val="24"/>
          <w:szCs w:val="24"/>
        </w:rPr>
        <w:t>Tambayong</w:t>
      </w:r>
      <w:proofErr w:type="spellEnd"/>
      <w:r w:rsidRPr="005B0A67">
        <w:rPr>
          <w:rFonts w:ascii="Garamond" w:hAnsi="Garamond" w:cs="Arial Unicode MS"/>
          <w:sz w:val="24"/>
          <w:szCs w:val="24"/>
        </w:rPr>
        <w:t xml:space="preserve"> 2006 “Oscillatory dynamics of city-size distributions </w:t>
      </w:r>
    </w:p>
    <w:p w:rsidR="00207654" w:rsidRPr="005B0A67" w:rsidRDefault="00207654" w:rsidP="00207654">
      <w:pPr>
        <w:ind w:left="720" w:hanging="720"/>
        <w:rPr>
          <w:rFonts w:ascii="Garamond" w:hAnsi="Garamond" w:cs="Arial Unicode MS"/>
          <w:sz w:val="24"/>
          <w:szCs w:val="24"/>
        </w:rPr>
      </w:pPr>
      <w:r w:rsidRPr="005B0A67">
        <w:rPr>
          <w:rFonts w:ascii="Garamond" w:hAnsi="Garamond" w:cs="Arial Unicode MS"/>
          <w:sz w:val="24"/>
          <w:szCs w:val="24"/>
        </w:rPr>
        <w:tab/>
        <w:t xml:space="preserve">in world historical systems”. Pp. 190-225 in G. </w:t>
      </w:r>
      <w:proofErr w:type="spellStart"/>
      <w:r w:rsidRPr="005B0A67">
        <w:rPr>
          <w:rFonts w:ascii="Garamond" w:hAnsi="Garamond" w:cs="Arial Unicode MS"/>
          <w:sz w:val="24"/>
          <w:szCs w:val="24"/>
        </w:rPr>
        <w:t>Modelski</w:t>
      </w:r>
      <w:proofErr w:type="spellEnd"/>
      <w:r w:rsidRPr="005B0A67">
        <w:rPr>
          <w:rFonts w:ascii="Garamond" w:hAnsi="Garamond" w:cs="Arial Unicode MS"/>
          <w:sz w:val="24"/>
          <w:szCs w:val="24"/>
        </w:rPr>
        <w:t xml:space="preserve">, T. </w:t>
      </w:r>
      <w:proofErr w:type="spellStart"/>
      <w:r w:rsidRPr="005B0A67">
        <w:rPr>
          <w:rFonts w:ascii="Garamond" w:hAnsi="Garamond" w:cs="Arial Unicode MS"/>
          <w:sz w:val="24"/>
          <w:szCs w:val="24"/>
        </w:rPr>
        <w:t>Devezas</w:t>
      </w:r>
      <w:proofErr w:type="spellEnd"/>
      <w:r w:rsidRPr="005B0A67">
        <w:rPr>
          <w:rFonts w:ascii="Garamond" w:hAnsi="Garamond" w:cs="Arial Unicode MS"/>
          <w:sz w:val="24"/>
          <w:szCs w:val="24"/>
        </w:rPr>
        <w:t xml:space="preserve"> and W. Thompson, (eds.) </w:t>
      </w:r>
    </w:p>
    <w:p w:rsidR="00207654" w:rsidRPr="005B0A67" w:rsidRDefault="00207654" w:rsidP="00207654">
      <w:pPr>
        <w:ind w:left="720" w:hanging="720"/>
        <w:rPr>
          <w:rFonts w:ascii="Garamond" w:hAnsi="Garamond" w:cs="Arial Unicode MS"/>
          <w:sz w:val="24"/>
          <w:szCs w:val="24"/>
        </w:rPr>
      </w:pPr>
      <w:r w:rsidRPr="005B0A67">
        <w:rPr>
          <w:rFonts w:ascii="Garamond" w:hAnsi="Garamond" w:cs="Arial Unicode MS"/>
          <w:sz w:val="24"/>
          <w:szCs w:val="24"/>
        </w:rPr>
        <w:tab/>
      </w:r>
      <w:r w:rsidRPr="005B0A67">
        <w:rPr>
          <w:rFonts w:ascii="Garamond" w:hAnsi="Garamond" w:cs="Arial Unicode MS"/>
          <w:i/>
          <w:sz w:val="24"/>
          <w:szCs w:val="24"/>
        </w:rPr>
        <w:t>Globalization as Evolutionary Process: Modeling, Simulating, and Forecasting Global Change</w:t>
      </w:r>
      <w:r w:rsidRPr="005B0A67">
        <w:rPr>
          <w:rFonts w:ascii="Garamond" w:hAnsi="Garamond" w:cs="Arial Unicode MS"/>
          <w:sz w:val="24"/>
          <w:szCs w:val="24"/>
        </w:rPr>
        <w:t xml:space="preserve">.. London: </w:t>
      </w:r>
    </w:p>
    <w:p w:rsidR="00207654" w:rsidRPr="005B0A67" w:rsidRDefault="00207654" w:rsidP="00207654">
      <w:pPr>
        <w:ind w:left="720" w:hanging="720"/>
        <w:rPr>
          <w:rFonts w:ascii="Garamond" w:hAnsi="Garamond"/>
          <w:sz w:val="24"/>
          <w:szCs w:val="24"/>
        </w:rPr>
      </w:pPr>
      <w:r w:rsidRPr="005B0A67">
        <w:rPr>
          <w:rFonts w:ascii="Garamond" w:hAnsi="Garamond" w:cs="Arial Unicode MS"/>
          <w:sz w:val="24"/>
          <w:szCs w:val="24"/>
        </w:rPr>
        <w:tab/>
        <w:t xml:space="preserve">Routledge. </w:t>
      </w:r>
    </w:p>
    <w:p w:rsidR="004263DA"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Wilkinson, David 1987 "Central Civilization." </w:t>
      </w:r>
      <w:r w:rsidRPr="005B0A67">
        <w:rPr>
          <w:rFonts w:ascii="Garamond" w:eastAsia="Times New Roman" w:hAnsi="Garamond" w:cs="Times New Roman"/>
          <w:i/>
          <w:iCs/>
          <w:color w:val="000000"/>
          <w:sz w:val="24"/>
          <w:szCs w:val="24"/>
          <w:lang w:eastAsia="en-US"/>
        </w:rPr>
        <w:t>Comparative Civilizations Review</w:t>
      </w:r>
      <w:r w:rsidRPr="005B0A67">
        <w:rPr>
          <w:rFonts w:ascii="Garamond" w:eastAsia="Times New Roman" w:hAnsi="Garamond" w:cs="Times New Roman"/>
          <w:color w:val="000000"/>
          <w:sz w:val="24"/>
          <w:szCs w:val="24"/>
          <w:lang w:eastAsia="en-US"/>
        </w:rPr>
        <w:t> 17:31-59.</w:t>
      </w:r>
    </w:p>
    <w:p w:rsidR="004263DA" w:rsidRPr="005B0A67" w:rsidRDefault="004D0421"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lastRenderedPageBreak/>
        <w:t xml:space="preserve">______  </w:t>
      </w:r>
      <w:r w:rsidR="004263DA" w:rsidRPr="005B0A67">
        <w:rPr>
          <w:rFonts w:ascii="Garamond" w:eastAsia="Times New Roman" w:hAnsi="Garamond" w:cs="Times New Roman"/>
          <w:color w:val="000000"/>
          <w:sz w:val="24"/>
          <w:szCs w:val="24"/>
          <w:lang w:eastAsia="en-US"/>
        </w:rPr>
        <w:t>1991 "Core, peripheries and civilizations." Pp. 113-166 in Christopher</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Chase-Dunn and Thomas D. Hall (eds.) </w:t>
      </w:r>
      <w:r w:rsidR="004263DA" w:rsidRPr="005B0A67">
        <w:rPr>
          <w:rFonts w:ascii="Garamond" w:eastAsia="Times New Roman" w:hAnsi="Garamond" w:cs="Times New Roman"/>
          <w:i/>
          <w:iCs/>
          <w:color w:val="000000"/>
          <w:sz w:val="24"/>
          <w:szCs w:val="24"/>
          <w:lang w:eastAsia="en-US"/>
        </w:rPr>
        <w:t xml:space="preserve">Core/Periphery Relations in </w:t>
      </w:r>
      <w:proofErr w:type="spellStart"/>
      <w:r w:rsidR="004263DA" w:rsidRPr="005B0A67">
        <w:rPr>
          <w:rFonts w:ascii="Garamond" w:eastAsia="Times New Roman" w:hAnsi="Garamond" w:cs="Times New Roman"/>
          <w:i/>
          <w:iCs/>
          <w:color w:val="000000"/>
          <w:sz w:val="24"/>
          <w:szCs w:val="24"/>
          <w:lang w:eastAsia="en-US"/>
        </w:rPr>
        <w:t>Precapitalist</w:t>
      </w:r>
      <w:proofErr w:type="spellEnd"/>
      <w:r w:rsidR="004263DA" w:rsidRPr="005B0A67">
        <w:rPr>
          <w:rFonts w:ascii="Garamond" w:eastAsia="Times New Roman" w:hAnsi="Garamond" w:cs="Times New Roman"/>
          <w:i/>
          <w:iCs/>
          <w:color w:val="000000"/>
          <w:sz w:val="24"/>
          <w:szCs w:val="24"/>
          <w:lang w:eastAsia="en-US"/>
        </w:rPr>
        <w:t xml:space="preserve"> Worlds</w:t>
      </w:r>
      <w:r w:rsidR="004263DA" w:rsidRPr="005B0A67">
        <w:rPr>
          <w:rFonts w:ascii="Garamond" w:eastAsia="Times New Roman" w:hAnsi="Garamond" w:cs="Times New Roman"/>
          <w:color w:val="000000"/>
          <w:sz w:val="24"/>
          <w:szCs w:val="24"/>
          <w:lang w:eastAsia="en-US"/>
        </w:rPr>
        <w:t>,</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Boulder, CO.: Westview.</w:t>
      </w:r>
    </w:p>
    <w:p w:rsidR="004263DA" w:rsidRPr="005B0A67" w:rsidRDefault="000420B0" w:rsidP="00696473">
      <w:pPr>
        <w:ind w:left="720" w:hanging="720"/>
        <w:rPr>
          <w:rFonts w:ascii="Garamond" w:eastAsia="Times New Roman" w:hAnsi="Garamond" w:cs="Times New Roman"/>
          <w:color w:val="000000"/>
          <w:sz w:val="24"/>
          <w:szCs w:val="24"/>
          <w:lang w:eastAsia="en-US"/>
        </w:rPr>
      </w:pPr>
      <w:r>
        <w:rPr>
          <w:rFonts w:ascii="Garamond" w:eastAsia="Times New Roman" w:hAnsi="Garamond" w:cs="Times New Roman"/>
          <w:color w:val="000000"/>
          <w:sz w:val="24"/>
          <w:szCs w:val="24"/>
          <w:lang w:eastAsia="en-US"/>
        </w:rPr>
        <w:t>______ </w:t>
      </w:r>
      <w:r w:rsidR="004D0421"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 xml:space="preserve">1992a "Decline phases in civilizations, regions and </w:t>
      </w:r>
      <w:proofErr w:type="spellStart"/>
      <w:r w:rsidR="004263DA" w:rsidRPr="005B0A67">
        <w:rPr>
          <w:rFonts w:ascii="Garamond" w:eastAsia="Times New Roman" w:hAnsi="Garamond" w:cs="Times New Roman"/>
          <w:color w:val="000000"/>
          <w:sz w:val="24"/>
          <w:szCs w:val="24"/>
          <w:lang w:eastAsia="en-US"/>
        </w:rPr>
        <w:t>oikumenes</w:t>
      </w:r>
      <w:proofErr w:type="spellEnd"/>
      <w:r w:rsidR="004263DA" w:rsidRPr="005B0A67">
        <w:rPr>
          <w:rFonts w:ascii="Garamond" w:eastAsia="Times New Roman" w:hAnsi="Garamond" w:cs="Times New Roman"/>
          <w:color w:val="000000"/>
          <w:sz w:val="24"/>
          <w:szCs w:val="24"/>
          <w:lang w:eastAsia="en-US"/>
        </w:rPr>
        <w:t>." A paper presented at the annual meetings of the International Studies Association, Atlanta, GA. April 1-4.</w:t>
      </w:r>
    </w:p>
    <w:p w:rsidR="004263DA" w:rsidRPr="005B0A67" w:rsidRDefault="000420B0" w:rsidP="00696473">
      <w:pPr>
        <w:ind w:left="720" w:hanging="720"/>
        <w:rPr>
          <w:rFonts w:ascii="Garamond" w:eastAsia="Times New Roman" w:hAnsi="Garamond" w:cs="Times New Roman"/>
          <w:color w:val="000000"/>
          <w:sz w:val="24"/>
          <w:szCs w:val="24"/>
          <w:lang w:eastAsia="en-US"/>
        </w:rPr>
      </w:pPr>
      <w:r>
        <w:rPr>
          <w:rFonts w:ascii="Garamond" w:eastAsia="Times New Roman" w:hAnsi="Garamond" w:cs="Times New Roman"/>
          <w:color w:val="000000"/>
          <w:sz w:val="24"/>
          <w:szCs w:val="24"/>
          <w:lang w:eastAsia="en-US"/>
        </w:rPr>
        <w:t>______ </w:t>
      </w:r>
      <w:r w:rsidR="004D0421"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1992b "Cities, civilizations and </w:t>
      </w:r>
      <w:proofErr w:type="spellStart"/>
      <w:r w:rsidR="004263DA" w:rsidRPr="005B0A67">
        <w:rPr>
          <w:rFonts w:ascii="Garamond" w:eastAsia="Times New Roman" w:hAnsi="Garamond" w:cs="Times New Roman"/>
          <w:color w:val="000000"/>
          <w:sz w:val="24"/>
          <w:szCs w:val="24"/>
          <w:lang w:eastAsia="en-US"/>
        </w:rPr>
        <w:t>oikumenes:I</w:t>
      </w:r>
      <w:proofErr w:type="spellEnd"/>
      <w:r w:rsidR="004263DA" w:rsidRPr="005B0A67">
        <w:rPr>
          <w:rFonts w:ascii="Garamond" w:eastAsia="Times New Roman" w:hAnsi="Garamond" w:cs="Times New Roman"/>
          <w:color w:val="000000"/>
          <w:sz w:val="24"/>
          <w:szCs w:val="24"/>
          <w:lang w:eastAsia="en-US"/>
        </w:rPr>
        <w:t>." </w:t>
      </w:r>
      <w:r w:rsidR="004263DA" w:rsidRPr="005B0A67">
        <w:rPr>
          <w:rFonts w:ascii="Garamond" w:eastAsia="Times New Roman" w:hAnsi="Garamond" w:cs="Times New Roman"/>
          <w:i/>
          <w:iCs/>
          <w:color w:val="000000"/>
          <w:sz w:val="24"/>
          <w:szCs w:val="24"/>
          <w:lang w:eastAsia="en-US"/>
        </w:rPr>
        <w:t>Comparative Civilizations Review</w:t>
      </w:r>
      <w:r w:rsidR="004263DA" w:rsidRPr="005B0A67">
        <w:rPr>
          <w:rFonts w:ascii="Garamond" w:eastAsia="Times New Roman" w:hAnsi="Garamond" w:cs="Times New Roman"/>
          <w:color w:val="000000"/>
          <w:sz w:val="24"/>
          <w:szCs w:val="24"/>
          <w:lang w:eastAsia="en-US"/>
        </w:rPr>
        <w:t> 27:51-87 (Fall).</w:t>
      </w:r>
    </w:p>
    <w:p w:rsidR="004263DA" w:rsidRDefault="000420B0" w:rsidP="00696473">
      <w:pPr>
        <w:ind w:left="720" w:hanging="720"/>
        <w:rPr>
          <w:rFonts w:ascii="Garamond" w:eastAsia="Times New Roman" w:hAnsi="Garamond" w:cs="Times New Roman"/>
          <w:color w:val="000000"/>
          <w:sz w:val="24"/>
          <w:szCs w:val="24"/>
          <w:lang w:eastAsia="en-US"/>
        </w:rPr>
      </w:pPr>
      <w:r>
        <w:rPr>
          <w:rFonts w:ascii="Garamond" w:eastAsia="Times New Roman" w:hAnsi="Garamond" w:cs="Times New Roman"/>
          <w:color w:val="000000"/>
          <w:sz w:val="24"/>
          <w:szCs w:val="24"/>
          <w:lang w:eastAsia="en-US"/>
        </w:rPr>
        <w:t>______ </w:t>
      </w:r>
      <w:r w:rsidR="004263DA" w:rsidRPr="005B0A67">
        <w:rPr>
          <w:rFonts w:ascii="Garamond" w:eastAsia="Times New Roman" w:hAnsi="Garamond" w:cs="Times New Roman"/>
          <w:color w:val="000000"/>
          <w:sz w:val="24"/>
          <w:szCs w:val="24"/>
          <w:lang w:eastAsia="en-US"/>
        </w:rPr>
        <w:t xml:space="preserve"> 1993 “Cities, civilizations and </w:t>
      </w:r>
      <w:proofErr w:type="spellStart"/>
      <w:r w:rsidR="004263DA" w:rsidRPr="005B0A67">
        <w:rPr>
          <w:rFonts w:ascii="Garamond" w:eastAsia="Times New Roman" w:hAnsi="Garamond" w:cs="Times New Roman"/>
          <w:color w:val="000000"/>
          <w:sz w:val="24"/>
          <w:szCs w:val="24"/>
          <w:lang w:eastAsia="en-US"/>
        </w:rPr>
        <w:t>oikumenes:II</w:t>
      </w:r>
      <w:proofErr w:type="spellEnd"/>
      <w:r w:rsidR="004263DA" w:rsidRPr="005B0A67">
        <w:rPr>
          <w:rFonts w:ascii="Garamond" w:eastAsia="Times New Roman" w:hAnsi="Garamond" w:cs="Times New Roman"/>
          <w:color w:val="000000"/>
          <w:sz w:val="24"/>
          <w:szCs w:val="24"/>
          <w:lang w:eastAsia="en-US"/>
        </w:rPr>
        <w:t>”</w:t>
      </w:r>
      <w:r w:rsidR="004263DA" w:rsidRPr="005B0A67">
        <w:rPr>
          <w:rFonts w:ascii="Garamond" w:eastAsia="Times New Roman" w:hAnsi="Garamond" w:cs="Times New Roman"/>
          <w:i/>
          <w:iCs/>
          <w:color w:val="000000"/>
          <w:sz w:val="24"/>
          <w:szCs w:val="24"/>
          <w:lang w:eastAsia="en-US"/>
        </w:rPr>
        <w:t> Comparative Civilizations Review</w:t>
      </w:r>
      <w:r w:rsidR="004263DA" w:rsidRPr="005B0A67">
        <w:rPr>
          <w:rFonts w:ascii="Garamond" w:eastAsia="Times New Roman" w:hAnsi="Garamond" w:cs="Times New Roman"/>
          <w:color w:val="000000"/>
          <w:sz w:val="24"/>
          <w:szCs w:val="24"/>
          <w:lang w:eastAsia="en-US"/>
        </w:rPr>
        <w:t> 28: 41-72.</w:t>
      </w:r>
    </w:p>
    <w:p w:rsidR="000420B0" w:rsidRDefault="000420B0" w:rsidP="000420B0">
      <w:pPr>
        <w:ind w:left="720" w:hanging="720"/>
        <w:rPr>
          <w:rFonts w:ascii="Garamond" w:hAnsi="Garamond" w:cs="Courier New"/>
          <w:color w:val="000000"/>
          <w:sz w:val="24"/>
          <w:szCs w:val="24"/>
        </w:rPr>
      </w:pPr>
      <w:r w:rsidRPr="000420B0">
        <w:rPr>
          <w:rFonts w:ascii="Garamond" w:hAnsi="Garamond" w:cs="Courier New"/>
          <w:color w:val="000000"/>
          <w:sz w:val="24"/>
          <w:szCs w:val="24"/>
        </w:rPr>
        <w:t xml:space="preserve">__________ 1994.  "Hegemony and Social Change."  38 </w:t>
      </w:r>
      <w:proofErr w:type="spellStart"/>
      <w:r w:rsidRPr="000420B0">
        <w:rPr>
          <w:rFonts w:ascii="Garamond" w:hAnsi="Garamond" w:cs="Courier New"/>
          <w:color w:val="000000"/>
          <w:sz w:val="24"/>
          <w:szCs w:val="24"/>
        </w:rPr>
        <w:t>Mershon</w:t>
      </w:r>
      <w:proofErr w:type="spellEnd"/>
      <w:r w:rsidRPr="000420B0">
        <w:rPr>
          <w:rFonts w:ascii="Garamond" w:hAnsi="Garamond" w:cs="Courier New"/>
          <w:color w:val="000000"/>
          <w:sz w:val="24"/>
          <w:szCs w:val="24"/>
        </w:rPr>
        <w:t xml:space="preserve"> International Studies Review, 374-376.</w:t>
      </w:r>
    </w:p>
    <w:p w:rsidR="008B5FD6" w:rsidRPr="005B0A67" w:rsidRDefault="006277F7" w:rsidP="000420B0">
      <w:pPr>
        <w:ind w:left="720" w:hanging="720"/>
        <w:rPr>
          <w:rFonts w:ascii="Garamond" w:hAnsi="Garamond" w:cs="Courier New"/>
        </w:rPr>
      </w:pPr>
      <w:r w:rsidRPr="005B0A67">
        <w:rPr>
          <w:rFonts w:ascii="Garamond" w:hAnsi="Garamond"/>
          <w:color w:val="000000"/>
        </w:rPr>
        <w:t>_____</w:t>
      </w:r>
      <w:r w:rsidR="000420B0">
        <w:rPr>
          <w:rFonts w:ascii="Garamond" w:hAnsi="Garamond"/>
          <w:color w:val="000000"/>
        </w:rPr>
        <w:t xml:space="preserve">_  </w:t>
      </w:r>
      <w:r w:rsidR="008B5FD6" w:rsidRPr="005B0A67">
        <w:rPr>
          <w:rFonts w:ascii="Garamond" w:hAnsi="Garamond"/>
          <w:color w:val="000000"/>
        </w:rPr>
        <w:t xml:space="preserve">1996 </w:t>
      </w:r>
      <w:r w:rsidR="008B5FD6" w:rsidRPr="005B0A67">
        <w:rPr>
          <w:rFonts w:ascii="Garamond" w:hAnsi="Garamond" w:cs="Courier New"/>
        </w:rPr>
        <w:t xml:space="preserve">"Configurations of the </w:t>
      </w:r>
      <w:r w:rsidR="00B4348D">
        <w:rPr>
          <w:rFonts w:ascii="Garamond" w:hAnsi="Garamond" w:cs="Courier New"/>
        </w:rPr>
        <w:t>South Asia</w:t>
      </w:r>
      <w:r w:rsidR="008B5FD6" w:rsidRPr="005B0A67">
        <w:rPr>
          <w:rFonts w:ascii="Garamond" w:hAnsi="Garamond" w:cs="Courier New"/>
        </w:rPr>
        <w:t xml:space="preserve"> States System"  34 </w:t>
      </w:r>
      <w:r w:rsidR="008B5FD6" w:rsidRPr="005B0A67">
        <w:rPr>
          <w:rFonts w:ascii="Garamond" w:hAnsi="Garamond" w:cs="Courier New"/>
          <w:i/>
        </w:rPr>
        <w:t>Comparative Civilizations Review</w:t>
      </w:r>
      <w:r w:rsidR="008B5FD6" w:rsidRPr="005B0A67">
        <w:rPr>
          <w:rFonts w:ascii="Garamond" w:hAnsi="Garamond" w:cs="Courier New"/>
        </w:rPr>
        <w:t xml:space="preserve">, Spring  pp. </w:t>
      </w:r>
    </w:p>
    <w:p w:rsidR="008B5FD6" w:rsidRPr="005B0A67" w:rsidRDefault="008B5FD6" w:rsidP="008B5FD6">
      <w:pPr>
        <w:pStyle w:val="BodyText"/>
        <w:tabs>
          <w:tab w:val="clear" w:pos="-720"/>
        </w:tabs>
        <w:spacing w:line="240" w:lineRule="auto"/>
        <w:rPr>
          <w:rFonts w:ascii="Garamond" w:hAnsi="Garamond" w:cs="Courier New"/>
        </w:rPr>
      </w:pPr>
      <w:r w:rsidRPr="005B0A67">
        <w:rPr>
          <w:rFonts w:ascii="Garamond" w:hAnsi="Garamond" w:cs="Courier New"/>
        </w:rPr>
        <w:tab/>
        <w:t>63-119.</w:t>
      </w:r>
    </w:p>
    <w:p w:rsidR="000420B0" w:rsidRDefault="000420B0" w:rsidP="00CD2A10">
      <w:pPr>
        <w:rPr>
          <w:rFonts w:ascii="Garamond" w:hAnsi="Garamond" w:cs="Courier New"/>
          <w:color w:val="000000"/>
          <w:sz w:val="24"/>
          <w:szCs w:val="24"/>
        </w:rPr>
      </w:pPr>
      <w:r w:rsidRPr="000420B0">
        <w:rPr>
          <w:rFonts w:ascii="Garamond" w:hAnsi="Garamond" w:cs="Courier New"/>
          <w:color w:val="000000"/>
          <w:sz w:val="24"/>
          <w:szCs w:val="24"/>
        </w:rPr>
        <w:t>______</w:t>
      </w:r>
      <w:r>
        <w:rPr>
          <w:rFonts w:ascii="Garamond" w:hAnsi="Garamond" w:cs="Courier New"/>
          <w:color w:val="000000"/>
          <w:sz w:val="24"/>
          <w:szCs w:val="24"/>
        </w:rPr>
        <w:t xml:space="preserve"> 1999a</w:t>
      </w:r>
      <w:r w:rsidRPr="000420B0">
        <w:rPr>
          <w:rFonts w:ascii="Garamond" w:hAnsi="Garamond" w:cs="Courier New"/>
          <w:color w:val="000000"/>
          <w:sz w:val="24"/>
          <w:szCs w:val="24"/>
        </w:rPr>
        <w:t xml:space="preserve"> “Power Polarity in the Far Eastern World System, 1025 BC--AD 1850: Narrative and 25-Year Interval Data.” Journal of World-Systems Research 5(3): 501-617.</w:t>
      </w:r>
      <w:r w:rsidRPr="000420B0">
        <w:rPr>
          <w:rFonts w:ascii="Garamond" w:hAnsi="Garamond" w:cs="Courier New"/>
          <w:color w:val="000000"/>
          <w:sz w:val="24"/>
          <w:szCs w:val="24"/>
        </w:rPr>
        <w:br/>
        <w:t>_________</w:t>
      </w:r>
      <w:r>
        <w:rPr>
          <w:rFonts w:ascii="Garamond" w:hAnsi="Garamond" w:cs="Courier New"/>
          <w:color w:val="000000"/>
          <w:sz w:val="24"/>
          <w:szCs w:val="24"/>
        </w:rPr>
        <w:t xml:space="preserve"> 1999</w:t>
      </w:r>
      <w:r w:rsidRPr="000420B0">
        <w:rPr>
          <w:rFonts w:ascii="Garamond" w:hAnsi="Garamond" w:cs="Courier New"/>
          <w:color w:val="000000"/>
          <w:sz w:val="24"/>
          <w:szCs w:val="24"/>
        </w:rPr>
        <w:t>b  “</w:t>
      </w:r>
      <w:proofErr w:type="spellStart"/>
      <w:r w:rsidRPr="000420B0">
        <w:rPr>
          <w:rFonts w:ascii="Garamond" w:hAnsi="Garamond" w:cs="Courier New"/>
          <w:color w:val="000000"/>
          <w:sz w:val="24"/>
          <w:szCs w:val="24"/>
        </w:rPr>
        <w:t>Unipolarity</w:t>
      </w:r>
      <w:proofErr w:type="spellEnd"/>
      <w:r w:rsidRPr="000420B0">
        <w:rPr>
          <w:rFonts w:ascii="Garamond" w:hAnsi="Garamond" w:cs="Courier New"/>
          <w:color w:val="000000"/>
          <w:sz w:val="24"/>
          <w:szCs w:val="24"/>
        </w:rPr>
        <w:t xml:space="preserve"> without</w:t>
      </w:r>
      <w:r>
        <w:rPr>
          <w:rFonts w:ascii="Courier New" w:hAnsi="Courier New" w:cs="Courier New"/>
          <w:color w:val="000000"/>
        </w:rPr>
        <w:t xml:space="preserve"> </w:t>
      </w:r>
      <w:r w:rsidRPr="000420B0">
        <w:rPr>
          <w:rFonts w:ascii="Garamond" w:hAnsi="Garamond" w:cs="Courier New"/>
          <w:color w:val="000000"/>
          <w:sz w:val="24"/>
          <w:szCs w:val="24"/>
        </w:rPr>
        <w:t>Hegemony."  1 International Studies Review no. 2 (Summer) 141-</w:t>
      </w:r>
    </w:p>
    <w:p w:rsidR="008B5FD6" w:rsidRPr="005B0A67" w:rsidRDefault="000420B0" w:rsidP="00CD2A10">
      <w:pPr>
        <w:rPr>
          <w:rFonts w:ascii="Garamond" w:hAnsi="Garamond" w:cs="Courier New"/>
          <w:spacing w:val="-3"/>
          <w:sz w:val="24"/>
          <w:szCs w:val="24"/>
        </w:rPr>
      </w:pPr>
      <w:r>
        <w:rPr>
          <w:rFonts w:ascii="Garamond" w:hAnsi="Garamond" w:cs="Courier New"/>
          <w:color w:val="000000"/>
          <w:sz w:val="24"/>
          <w:szCs w:val="24"/>
        </w:rPr>
        <w:tab/>
      </w:r>
      <w:r w:rsidRPr="000420B0">
        <w:rPr>
          <w:rFonts w:ascii="Garamond" w:hAnsi="Garamond" w:cs="Courier New"/>
          <w:color w:val="000000"/>
          <w:sz w:val="24"/>
          <w:szCs w:val="24"/>
        </w:rPr>
        <w:t>172.</w:t>
      </w:r>
      <w:r w:rsidRPr="000420B0">
        <w:rPr>
          <w:rFonts w:ascii="Garamond" w:hAnsi="Garamond" w:cs="Courier New"/>
          <w:color w:val="000000"/>
          <w:sz w:val="24"/>
          <w:szCs w:val="24"/>
        </w:rPr>
        <w:br/>
      </w:r>
      <w:r>
        <w:rPr>
          <w:rFonts w:ascii="Garamond" w:eastAsia="Times New Roman" w:hAnsi="Garamond" w:cs="Times New Roman"/>
          <w:color w:val="000000"/>
          <w:sz w:val="24"/>
          <w:szCs w:val="24"/>
          <w:lang w:eastAsia="en-US"/>
        </w:rPr>
        <w:t>______ </w:t>
      </w:r>
      <w:r w:rsidR="006277F7" w:rsidRPr="005B0A67">
        <w:rPr>
          <w:rFonts w:ascii="Garamond" w:eastAsia="Times New Roman" w:hAnsi="Garamond" w:cs="Times New Roman"/>
          <w:color w:val="000000"/>
          <w:sz w:val="24"/>
          <w:szCs w:val="24"/>
          <w:lang w:eastAsia="en-US"/>
        </w:rPr>
        <w:t xml:space="preserve"> </w:t>
      </w:r>
      <w:r w:rsidR="008B5FD6" w:rsidRPr="005B0A67">
        <w:rPr>
          <w:rFonts w:ascii="Garamond" w:eastAsia="Times New Roman" w:hAnsi="Garamond" w:cs="Times New Roman"/>
          <w:sz w:val="24"/>
          <w:szCs w:val="24"/>
          <w:lang w:eastAsia="en-US"/>
        </w:rPr>
        <w:t xml:space="preserve">2001 </w:t>
      </w:r>
      <w:r w:rsidR="008B5FD6" w:rsidRPr="005B0A67">
        <w:rPr>
          <w:rFonts w:ascii="Garamond" w:hAnsi="Garamond" w:cs="Courier New"/>
          <w:spacing w:val="-3"/>
          <w:sz w:val="24"/>
          <w:szCs w:val="24"/>
        </w:rPr>
        <w:t xml:space="preserve">"Problems in Power Configuration Sequences: The Southwest Asian </w:t>
      </w:r>
      <w:proofErr w:type="spellStart"/>
      <w:r w:rsidR="008B5FD6" w:rsidRPr="005B0A67">
        <w:rPr>
          <w:rFonts w:ascii="Garamond" w:hAnsi="Garamond" w:cs="Courier New"/>
          <w:spacing w:val="-3"/>
          <w:sz w:val="24"/>
          <w:szCs w:val="24"/>
        </w:rPr>
        <w:t>Macrosystem</w:t>
      </w:r>
      <w:proofErr w:type="spellEnd"/>
      <w:r w:rsidR="008B5FD6" w:rsidRPr="005B0A67">
        <w:rPr>
          <w:rFonts w:ascii="Garamond" w:hAnsi="Garamond" w:cs="Courier New"/>
          <w:spacing w:val="-3"/>
          <w:sz w:val="24"/>
          <w:szCs w:val="24"/>
        </w:rPr>
        <w:t xml:space="preserve"> to 1500 BC." </w:t>
      </w:r>
    </w:p>
    <w:p w:rsidR="008B5FD6" w:rsidRPr="005B0A67" w:rsidRDefault="008B5FD6" w:rsidP="008B5FD6">
      <w:pPr>
        <w:ind w:firstLine="720"/>
        <w:rPr>
          <w:rFonts w:ascii="Garamond" w:hAnsi="Garamond" w:cs="Courier New"/>
          <w:spacing w:val="-3"/>
          <w:sz w:val="24"/>
          <w:szCs w:val="24"/>
        </w:rPr>
      </w:pPr>
      <w:r w:rsidRPr="005B0A67">
        <w:rPr>
          <w:rFonts w:ascii="Garamond" w:hAnsi="Garamond" w:cs="Courier New"/>
          <w:spacing w:val="-3"/>
          <w:sz w:val="24"/>
          <w:szCs w:val="24"/>
        </w:rPr>
        <w:t xml:space="preserve"> 17 </w:t>
      </w:r>
      <w:r w:rsidRPr="005B0A67">
        <w:rPr>
          <w:rFonts w:ascii="Garamond" w:hAnsi="Garamond" w:cs="Courier New"/>
          <w:i/>
          <w:spacing w:val="-3"/>
          <w:sz w:val="24"/>
          <w:szCs w:val="24"/>
        </w:rPr>
        <w:t>Comparative Civilization</w:t>
      </w:r>
      <w:r w:rsidRPr="005B0A67">
        <w:rPr>
          <w:rFonts w:ascii="Garamond" w:hAnsi="Garamond" w:cs="Courier New"/>
          <w:spacing w:val="-3"/>
          <w:sz w:val="24"/>
          <w:szCs w:val="24"/>
        </w:rPr>
        <w:t xml:space="preserve">  pp. 1-13.</w:t>
      </w:r>
    </w:p>
    <w:p w:rsidR="008B5FD6" w:rsidRPr="005B0A67" w:rsidRDefault="000420B0" w:rsidP="008B5FD6">
      <w:pPr>
        <w:suppressAutoHyphens/>
        <w:spacing w:line="240" w:lineRule="atLeast"/>
        <w:jc w:val="both"/>
        <w:rPr>
          <w:rFonts w:ascii="Garamond" w:hAnsi="Garamond" w:cs="Courier New"/>
          <w:spacing w:val="-3"/>
          <w:sz w:val="24"/>
          <w:szCs w:val="24"/>
        </w:rPr>
      </w:pPr>
      <w:r>
        <w:rPr>
          <w:rFonts w:ascii="Garamond" w:eastAsia="Times New Roman" w:hAnsi="Garamond" w:cs="Times New Roman"/>
          <w:color w:val="000000"/>
          <w:sz w:val="24"/>
          <w:szCs w:val="24"/>
          <w:lang w:eastAsia="en-US"/>
        </w:rPr>
        <w:t>______ </w:t>
      </w:r>
      <w:r w:rsidR="006277F7" w:rsidRPr="005B0A67">
        <w:rPr>
          <w:rFonts w:ascii="Garamond" w:eastAsia="Times New Roman" w:hAnsi="Garamond" w:cs="Times New Roman"/>
          <w:color w:val="000000"/>
          <w:sz w:val="24"/>
          <w:szCs w:val="24"/>
          <w:lang w:eastAsia="en-US"/>
        </w:rPr>
        <w:t xml:space="preserve"> </w:t>
      </w:r>
      <w:r w:rsidR="008B5FD6" w:rsidRPr="005B0A67">
        <w:rPr>
          <w:rFonts w:ascii="Garamond" w:hAnsi="Garamond" w:cs="Courier New"/>
          <w:spacing w:val="-3"/>
          <w:sz w:val="24"/>
          <w:szCs w:val="24"/>
        </w:rPr>
        <w:t xml:space="preserve">2004a "Power Configuration Sequences in the Northeast African World System to 1500 BC."  </w:t>
      </w:r>
    </w:p>
    <w:p w:rsidR="008B5FD6" w:rsidRPr="005B0A67" w:rsidRDefault="008B5FD6" w:rsidP="008B5FD6">
      <w:pPr>
        <w:suppressAutoHyphens/>
        <w:spacing w:line="240" w:lineRule="atLeast"/>
        <w:jc w:val="both"/>
        <w:rPr>
          <w:rFonts w:ascii="Garamond" w:hAnsi="Garamond" w:cs="Courier New"/>
          <w:spacing w:val="-3"/>
          <w:sz w:val="24"/>
          <w:szCs w:val="24"/>
        </w:rPr>
      </w:pPr>
      <w:r w:rsidRPr="005B0A67">
        <w:rPr>
          <w:rFonts w:ascii="Garamond" w:hAnsi="Garamond" w:cs="Courier New"/>
          <w:spacing w:val="-3"/>
          <w:sz w:val="24"/>
          <w:szCs w:val="24"/>
        </w:rPr>
        <w:tab/>
      </w:r>
      <w:r w:rsidRPr="005B0A67">
        <w:rPr>
          <w:rFonts w:ascii="Garamond" w:hAnsi="Garamond" w:cs="Courier New"/>
          <w:i/>
          <w:spacing w:val="-3"/>
          <w:sz w:val="24"/>
          <w:szCs w:val="24"/>
        </w:rPr>
        <w:t xml:space="preserve">Comparative Civilizations Review </w:t>
      </w:r>
      <w:r w:rsidRPr="005B0A67">
        <w:rPr>
          <w:rFonts w:ascii="Garamond" w:hAnsi="Garamond" w:cs="Courier New"/>
          <w:spacing w:val="-3"/>
          <w:sz w:val="24"/>
          <w:szCs w:val="24"/>
        </w:rPr>
        <w:t>(Spring), 82-104.</w:t>
      </w:r>
    </w:p>
    <w:p w:rsidR="00F45669" w:rsidRPr="005B0A67" w:rsidRDefault="000420B0" w:rsidP="00F45669">
      <w:pPr>
        <w:ind w:left="720" w:hanging="720"/>
        <w:rPr>
          <w:rFonts w:ascii="Garamond" w:hAnsi="Garamond"/>
          <w:sz w:val="24"/>
          <w:szCs w:val="24"/>
        </w:rPr>
      </w:pPr>
      <w:r>
        <w:rPr>
          <w:rFonts w:ascii="Garamond" w:hAnsi="Garamond" w:cs="Gisha"/>
          <w:sz w:val="24"/>
          <w:szCs w:val="24"/>
        </w:rPr>
        <w:t>______ </w:t>
      </w:r>
      <w:r w:rsidR="004D0421" w:rsidRPr="005B0A67">
        <w:rPr>
          <w:rFonts w:ascii="Garamond" w:hAnsi="Garamond" w:cs="Gisha"/>
          <w:sz w:val="24"/>
          <w:szCs w:val="24"/>
        </w:rPr>
        <w:t xml:space="preserve"> </w:t>
      </w:r>
      <w:r w:rsidR="004263DA" w:rsidRPr="005B0A67">
        <w:rPr>
          <w:rFonts w:ascii="Garamond" w:hAnsi="Garamond" w:cs="Gisha"/>
          <w:sz w:val="24"/>
          <w:szCs w:val="24"/>
        </w:rPr>
        <w:t>2004</w:t>
      </w:r>
      <w:r w:rsidR="008B5FD6" w:rsidRPr="005B0A67">
        <w:rPr>
          <w:rFonts w:ascii="Garamond" w:hAnsi="Garamond" w:cs="Gisha"/>
          <w:sz w:val="24"/>
          <w:szCs w:val="24"/>
        </w:rPr>
        <w:t>b</w:t>
      </w:r>
      <w:r w:rsidR="004263DA" w:rsidRPr="005B0A67">
        <w:rPr>
          <w:rFonts w:ascii="Garamond" w:hAnsi="Garamond" w:cs="Gisha"/>
          <w:sz w:val="24"/>
          <w:szCs w:val="24"/>
        </w:rPr>
        <w:t> </w:t>
      </w:r>
      <w:r w:rsidR="00696473" w:rsidRPr="005B0A67">
        <w:rPr>
          <w:rFonts w:ascii="Garamond" w:hAnsi="Garamond" w:cs="Gisha"/>
          <w:sz w:val="24"/>
          <w:szCs w:val="24"/>
        </w:rPr>
        <w:t>“</w:t>
      </w:r>
      <w:hyperlink r:id="rId59" w:history="1">
        <w:r w:rsidR="004263DA" w:rsidRPr="005B0A67">
          <w:rPr>
            <w:rStyle w:val="Hyperlink"/>
            <w:rFonts w:ascii="Garamond" w:hAnsi="Garamond" w:cs="Gisha"/>
            <w:color w:val="auto"/>
            <w:sz w:val="24"/>
            <w:szCs w:val="24"/>
            <w:u w:val="none"/>
          </w:rPr>
          <w:t>The Power Configuration Sequence of the Central World System, 1500-700 BC</w:t>
        </w:r>
      </w:hyperlink>
      <w:r w:rsidR="00696473" w:rsidRPr="005B0A67">
        <w:rPr>
          <w:rFonts w:ascii="Garamond" w:hAnsi="Garamond" w:cs="Gisha"/>
          <w:sz w:val="24"/>
          <w:szCs w:val="24"/>
        </w:rPr>
        <w:t xml:space="preserve">”  </w:t>
      </w:r>
      <w:r w:rsidR="004263DA" w:rsidRPr="005B0A67">
        <w:rPr>
          <w:rFonts w:ascii="Garamond" w:eastAsia="Times New Roman" w:hAnsi="Garamond" w:cs="Times New Roman"/>
          <w:i/>
          <w:iCs/>
          <w:color w:val="000000"/>
          <w:sz w:val="24"/>
          <w:szCs w:val="24"/>
          <w:lang w:eastAsia="en-US"/>
        </w:rPr>
        <w:t>Journal of World-Systems Research</w:t>
      </w:r>
      <w:r w:rsidR="004263DA" w:rsidRPr="005B0A67">
        <w:rPr>
          <w:rFonts w:ascii="Garamond" w:eastAsia="Times New Roman" w:hAnsi="Garamond" w:cs="Times New Roman"/>
          <w:color w:val="000000"/>
          <w:sz w:val="24"/>
          <w:szCs w:val="24"/>
          <w:lang w:eastAsia="en-US"/>
        </w:rPr>
        <w:t> Vol. 10, 3.</w:t>
      </w:r>
      <w:r w:rsidR="00696473" w:rsidRPr="005B0A67">
        <w:rPr>
          <w:rFonts w:ascii="Garamond" w:eastAsia="Times New Roman" w:hAnsi="Garamond" w:cs="Times New Roman"/>
          <w:color w:val="000000"/>
          <w:sz w:val="24"/>
          <w:szCs w:val="24"/>
          <w:lang w:eastAsia="en-US"/>
        </w:rPr>
        <w:t xml:space="preserve"> </w:t>
      </w:r>
      <w:hyperlink r:id="rId60" w:history="1">
        <w:r w:rsidR="00F45669" w:rsidRPr="005B0A67">
          <w:rPr>
            <w:rStyle w:val="Hyperlink"/>
            <w:rFonts w:ascii="Garamond" w:hAnsi="Garamond"/>
            <w:sz w:val="24"/>
            <w:szCs w:val="24"/>
          </w:rPr>
          <w:t>http://jwsr.pitt.edu/ojs/index.php/jwsr/article/view/279</w:t>
        </w:r>
      </w:hyperlink>
    </w:p>
    <w:p w:rsidR="00AB3809" w:rsidRPr="005B0A67" w:rsidRDefault="006277F7" w:rsidP="00E37A7E">
      <w:pPr>
        <w:suppressAutoHyphens/>
        <w:spacing w:line="240" w:lineRule="atLeast"/>
        <w:rPr>
          <w:rFonts w:ascii="Garamond" w:hAnsi="Garamond" w:cs="Courier New"/>
          <w:spacing w:val="-3"/>
          <w:sz w:val="24"/>
          <w:szCs w:val="24"/>
        </w:rPr>
      </w:pPr>
      <w:r w:rsidRPr="005B0A67">
        <w:rPr>
          <w:rFonts w:ascii="Garamond" w:eastAsia="Times New Roman" w:hAnsi="Garamond" w:cs="Times New Roman"/>
          <w:color w:val="000000"/>
          <w:sz w:val="24"/>
          <w:szCs w:val="24"/>
          <w:lang w:eastAsia="en-US"/>
        </w:rPr>
        <w:t xml:space="preserve">______ . </w:t>
      </w:r>
      <w:r w:rsidR="00E37A7E" w:rsidRPr="005B0A67">
        <w:rPr>
          <w:rFonts w:ascii="Garamond" w:hAnsi="Garamond"/>
          <w:sz w:val="24"/>
          <w:szCs w:val="24"/>
        </w:rPr>
        <w:t xml:space="preserve">2006 </w:t>
      </w:r>
      <w:r w:rsidR="00E37A7E" w:rsidRPr="005B0A67">
        <w:rPr>
          <w:rFonts w:ascii="Garamond" w:hAnsi="Garamond" w:cs="Courier New"/>
          <w:spacing w:val="-3"/>
          <w:sz w:val="24"/>
          <w:szCs w:val="24"/>
        </w:rPr>
        <w:t xml:space="preserve">"Analysis of Power-Structure Fluctuations in the 'Longue </w:t>
      </w:r>
      <w:proofErr w:type="spellStart"/>
      <w:r w:rsidR="00E37A7E" w:rsidRPr="005B0A67">
        <w:rPr>
          <w:rFonts w:ascii="Garamond" w:hAnsi="Garamond" w:cs="Courier New"/>
          <w:spacing w:val="-3"/>
          <w:sz w:val="24"/>
          <w:szCs w:val="24"/>
        </w:rPr>
        <w:t>Durée</w:t>
      </w:r>
      <w:proofErr w:type="spellEnd"/>
      <w:r w:rsidR="00E37A7E" w:rsidRPr="005B0A67">
        <w:rPr>
          <w:rFonts w:ascii="Garamond" w:hAnsi="Garamond" w:cs="Courier New"/>
          <w:spacing w:val="-3"/>
          <w:sz w:val="24"/>
          <w:szCs w:val="24"/>
        </w:rPr>
        <w:t xml:space="preserve"> of the South Asian World </w:t>
      </w:r>
    </w:p>
    <w:p w:rsidR="00AB3809" w:rsidRPr="005B0A67" w:rsidRDefault="00AB3809" w:rsidP="00E37A7E">
      <w:pPr>
        <w:suppressAutoHyphens/>
        <w:spacing w:line="240" w:lineRule="atLeast"/>
        <w:rPr>
          <w:rFonts w:ascii="Garamond" w:hAnsi="Garamond" w:cs="Courier New"/>
          <w:spacing w:val="-3"/>
          <w:sz w:val="24"/>
          <w:szCs w:val="24"/>
        </w:rPr>
      </w:pPr>
      <w:r w:rsidRPr="005B0A67">
        <w:rPr>
          <w:rFonts w:ascii="Garamond" w:hAnsi="Garamond" w:cs="Courier New"/>
          <w:spacing w:val="-3"/>
          <w:sz w:val="24"/>
          <w:szCs w:val="24"/>
        </w:rPr>
        <w:tab/>
      </w:r>
      <w:r w:rsidR="00E37A7E" w:rsidRPr="005B0A67">
        <w:rPr>
          <w:rFonts w:ascii="Garamond" w:hAnsi="Garamond" w:cs="Courier New"/>
          <w:spacing w:val="-3"/>
          <w:sz w:val="24"/>
          <w:szCs w:val="24"/>
        </w:rPr>
        <w:t xml:space="preserve">System."  1 </w:t>
      </w:r>
      <w:r w:rsidR="00E37A7E" w:rsidRPr="005B0A67">
        <w:rPr>
          <w:rFonts w:ascii="Garamond" w:hAnsi="Garamond" w:cs="Courier New"/>
          <w:i/>
          <w:spacing w:val="-3"/>
          <w:sz w:val="24"/>
          <w:szCs w:val="24"/>
        </w:rPr>
        <w:t>Structure and Dynamics</w:t>
      </w:r>
      <w:r w:rsidR="00E37A7E" w:rsidRPr="005B0A67">
        <w:rPr>
          <w:rFonts w:ascii="Garamond" w:hAnsi="Garamond" w:cs="Courier New"/>
          <w:spacing w:val="-3"/>
          <w:sz w:val="24"/>
          <w:szCs w:val="24"/>
        </w:rPr>
        <w:t xml:space="preserve">: </w:t>
      </w:r>
      <w:proofErr w:type="spellStart"/>
      <w:r w:rsidR="00E37A7E" w:rsidRPr="005B0A67">
        <w:rPr>
          <w:rFonts w:ascii="Garamond" w:hAnsi="Garamond" w:cs="Courier New"/>
          <w:sz w:val="24"/>
          <w:szCs w:val="24"/>
        </w:rPr>
        <w:t>eJournal</w:t>
      </w:r>
      <w:proofErr w:type="spellEnd"/>
      <w:r w:rsidR="00E37A7E" w:rsidRPr="005B0A67">
        <w:rPr>
          <w:rFonts w:ascii="Garamond" w:hAnsi="Garamond" w:cs="Courier New"/>
          <w:sz w:val="24"/>
          <w:szCs w:val="24"/>
        </w:rPr>
        <w:t xml:space="preserve"> of Anthropological and Related Sciences</w:t>
      </w:r>
      <w:r w:rsidR="00E37A7E" w:rsidRPr="005B0A67">
        <w:rPr>
          <w:rFonts w:ascii="Garamond" w:hAnsi="Garamond" w:cs="Courier New"/>
          <w:spacing w:val="-3"/>
          <w:sz w:val="24"/>
          <w:szCs w:val="24"/>
        </w:rPr>
        <w:t xml:space="preserve"> No. 2 (2006), </w:t>
      </w:r>
    </w:p>
    <w:p w:rsidR="00E37A7E" w:rsidRPr="005B0A67" w:rsidRDefault="00E37A7E" w:rsidP="00AB3809">
      <w:pPr>
        <w:suppressAutoHyphens/>
        <w:spacing w:line="240" w:lineRule="atLeast"/>
        <w:ind w:left="720"/>
        <w:rPr>
          <w:rFonts w:ascii="Garamond" w:hAnsi="Garamond" w:cs="Courier New"/>
          <w:spacing w:val="-3"/>
          <w:sz w:val="24"/>
          <w:szCs w:val="24"/>
        </w:rPr>
      </w:pPr>
      <w:r w:rsidRPr="005B0A67">
        <w:rPr>
          <w:rFonts w:ascii="Garamond" w:hAnsi="Garamond" w:cs="Courier New"/>
          <w:spacing w:val="-3"/>
          <w:sz w:val="24"/>
          <w:szCs w:val="24"/>
        </w:rPr>
        <w:t xml:space="preserve">Article 2. (With Sergei V. </w:t>
      </w:r>
      <w:r w:rsidR="00AB3809" w:rsidRPr="005B0A67">
        <w:rPr>
          <w:rFonts w:ascii="Garamond" w:hAnsi="Garamond" w:cs="Courier New"/>
          <w:spacing w:val="-3"/>
          <w:sz w:val="24"/>
          <w:szCs w:val="24"/>
        </w:rPr>
        <w:t xml:space="preserve"> </w:t>
      </w:r>
      <w:proofErr w:type="spellStart"/>
      <w:r w:rsidR="00AB3809" w:rsidRPr="005B0A67">
        <w:rPr>
          <w:rFonts w:ascii="Garamond" w:hAnsi="Garamond" w:cs="Courier New"/>
          <w:spacing w:val="-3"/>
          <w:sz w:val="24"/>
          <w:szCs w:val="24"/>
        </w:rPr>
        <w:t>T</w:t>
      </w:r>
      <w:r w:rsidRPr="005B0A67">
        <w:rPr>
          <w:rFonts w:ascii="Garamond" w:hAnsi="Garamond" w:cs="Courier New"/>
          <w:spacing w:val="-3"/>
          <w:sz w:val="24"/>
          <w:szCs w:val="24"/>
        </w:rPr>
        <w:t>sirel</w:t>
      </w:r>
      <w:proofErr w:type="spellEnd"/>
      <w:r w:rsidRPr="005B0A67">
        <w:rPr>
          <w:rFonts w:ascii="Garamond" w:hAnsi="Garamond" w:cs="Courier New"/>
          <w:spacing w:val="-3"/>
          <w:sz w:val="24"/>
          <w:szCs w:val="24"/>
        </w:rPr>
        <w:t>.)</w:t>
      </w:r>
      <w:r w:rsidR="00AB3809" w:rsidRPr="005B0A67">
        <w:rPr>
          <w:rFonts w:ascii="Garamond" w:hAnsi="Garamond" w:cs="Courier New"/>
          <w:spacing w:val="-3"/>
          <w:sz w:val="24"/>
          <w:szCs w:val="24"/>
        </w:rPr>
        <w:t xml:space="preserve"> </w:t>
      </w:r>
      <w:hyperlink r:id="rId61" w:history="1">
        <w:r w:rsidRPr="005B0A67">
          <w:rPr>
            <w:rStyle w:val="Hyperlink"/>
            <w:rFonts w:ascii="Garamond" w:hAnsi="Garamond" w:cs="Courier New"/>
            <w:sz w:val="24"/>
            <w:szCs w:val="24"/>
          </w:rPr>
          <w:t>http://repositories.cdlib.org/imbs/socdyn/sdeas/vol1/iss2/art2</w:t>
        </w:r>
      </w:hyperlink>
      <w:r w:rsidRPr="005B0A67">
        <w:rPr>
          <w:rFonts w:ascii="Garamond" w:hAnsi="Garamond" w:cs="Courier New"/>
          <w:spacing w:val="-3"/>
          <w:sz w:val="24"/>
          <w:szCs w:val="24"/>
        </w:rPr>
        <w:t xml:space="preserve"> </w:t>
      </w:r>
    </w:p>
    <w:p w:rsidR="000420B0" w:rsidRDefault="000420B0" w:rsidP="000420B0">
      <w:pPr>
        <w:rPr>
          <w:rFonts w:ascii="Garamond" w:hAnsi="Garamond" w:cs="Courier New"/>
          <w:color w:val="000000"/>
          <w:sz w:val="24"/>
          <w:szCs w:val="24"/>
        </w:rPr>
      </w:pPr>
      <w:r w:rsidRPr="000420B0">
        <w:rPr>
          <w:rFonts w:ascii="Garamond" w:hAnsi="Garamond" w:cs="Courier New"/>
          <w:color w:val="000000"/>
          <w:sz w:val="24"/>
          <w:szCs w:val="24"/>
        </w:rPr>
        <w:t>______</w:t>
      </w:r>
      <w:r>
        <w:rPr>
          <w:rFonts w:ascii="Garamond" w:hAnsi="Garamond" w:cs="Courier New"/>
          <w:color w:val="000000"/>
          <w:sz w:val="24"/>
          <w:szCs w:val="24"/>
        </w:rPr>
        <w:t xml:space="preserve"> 2008</w:t>
      </w:r>
      <w:r w:rsidRPr="000420B0">
        <w:rPr>
          <w:rFonts w:ascii="Garamond" w:hAnsi="Garamond" w:cs="Courier New"/>
          <w:color w:val="000000"/>
          <w:sz w:val="24"/>
          <w:szCs w:val="24"/>
        </w:rPr>
        <w:t>  "</w:t>
      </w:r>
      <w:proofErr w:type="spellStart"/>
      <w:r w:rsidRPr="000420B0">
        <w:rPr>
          <w:rFonts w:ascii="Garamond" w:hAnsi="Garamond" w:cs="Courier New"/>
          <w:color w:val="000000"/>
          <w:sz w:val="24"/>
          <w:szCs w:val="24"/>
        </w:rPr>
        <w:t>Hêgemonía</w:t>
      </w:r>
      <w:proofErr w:type="spellEnd"/>
      <w:r w:rsidRPr="000420B0">
        <w:rPr>
          <w:rFonts w:ascii="Garamond" w:hAnsi="Garamond" w:cs="Courier New"/>
          <w:color w:val="000000"/>
          <w:sz w:val="24"/>
          <w:szCs w:val="24"/>
        </w:rPr>
        <w:t xml:space="preserve">: Classical and Modern Hegemony."  14 Journal of World Systems Research no. </w:t>
      </w:r>
    </w:p>
    <w:p w:rsidR="000420B0" w:rsidRPr="000420B0" w:rsidRDefault="000420B0" w:rsidP="000420B0">
      <w:pPr>
        <w:rPr>
          <w:rFonts w:ascii="Garamond" w:eastAsia="Times New Roman" w:hAnsi="Garamond" w:cs="Times New Roman"/>
          <w:sz w:val="24"/>
          <w:szCs w:val="24"/>
          <w:lang w:eastAsia="ko-KR"/>
        </w:rPr>
      </w:pPr>
      <w:r>
        <w:rPr>
          <w:rFonts w:ascii="Garamond" w:hAnsi="Garamond" w:cs="Courier New"/>
          <w:color w:val="000000"/>
          <w:sz w:val="24"/>
          <w:szCs w:val="24"/>
        </w:rPr>
        <w:tab/>
      </w:r>
      <w:r w:rsidRPr="000420B0">
        <w:rPr>
          <w:rFonts w:ascii="Garamond" w:hAnsi="Garamond" w:cs="Courier New"/>
          <w:color w:val="000000"/>
          <w:sz w:val="24"/>
          <w:szCs w:val="24"/>
        </w:rPr>
        <w:t>3, 119-141.</w:t>
      </w:r>
    </w:p>
    <w:p w:rsidR="00507F04" w:rsidRPr="005B0A67" w:rsidRDefault="000420B0" w:rsidP="00507F04">
      <w:pPr>
        <w:rPr>
          <w:rFonts w:ascii="Garamond" w:eastAsia="Times New Roman" w:hAnsi="Garamond" w:cs="Times New Roman"/>
          <w:sz w:val="24"/>
          <w:szCs w:val="24"/>
          <w:lang w:eastAsia="ko-KR"/>
        </w:rPr>
      </w:pPr>
      <w:r>
        <w:rPr>
          <w:rFonts w:ascii="Garamond" w:eastAsia="Times New Roman" w:hAnsi="Garamond" w:cs="Times New Roman"/>
          <w:color w:val="000000"/>
          <w:sz w:val="24"/>
          <w:szCs w:val="24"/>
          <w:lang w:eastAsia="en-US"/>
        </w:rPr>
        <w:t>______ </w:t>
      </w:r>
      <w:r w:rsidR="006277F7" w:rsidRPr="005B0A67">
        <w:rPr>
          <w:rFonts w:ascii="Garamond" w:eastAsia="Times New Roman" w:hAnsi="Garamond" w:cs="Times New Roman"/>
          <w:color w:val="000000"/>
          <w:sz w:val="24"/>
          <w:szCs w:val="24"/>
          <w:lang w:eastAsia="en-US"/>
        </w:rPr>
        <w:t xml:space="preserve"> </w:t>
      </w:r>
      <w:r w:rsidR="001D5ECD" w:rsidRPr="005B0A67">
        <w:rPr>
          <w:rFonts w:ascii="Garamond" w:hAnsi="Garamond"/>
          <w:sz w:val="24"/>
          <w:szCs w:val="24"/>
        </w:rPr>
        <w:t>2017 “</w:t>
      </w:r>
      <w:r w:rsidR="001D5ECD" w:rsidRPr="005B0A67">
        <w:rPr>
          <w:rFonts w:ascii="Garamond" w:eastAsia="Times New Roman" w:hAnsi="Garamond" w:cs="Times New Roman"/>
          <w:sz w:val="24"/>
          <w:szCs w:val="24"/>
          <w:lang w:eastAsia="ko-KR"/>
        </w:rPr>
        <w:t>When states-systems unite:</w:t>
      </w:r>
      <w:r w:rsidR="001D5ECD" w:rsidRPr="005B0A67">
        <w:rPr>
          <w:rFonts w:ascii="Garamond" w:eastAsia="Times New Roman" w:hAnsi="Garamond"/>
          <w:sz w:val="24"/>
          <w:szCs w:val="24"/>
          <w:lang w:eastAsia="ko-KR"/>
        </w:rPr>
        <w:t xml:space="preserve"> </w:t>
      </w:r>
      <w:proofErr w:type="spellStart"/>
      <w:r w:rsidR="001D5ECD" w:rsidRPr="005B0A67">
        <w:rPr>
          <w:rFonts w:ascii="Garamond" w:eastAsia="Times New Roman" w:hAnsi="Garamond" w:cs="Times New Roman"/>
          <w:sz w:val="24"/>
          <w:szCs w:val="24"/>
          <w:lang w:eastAsia="ko-KR"/>
        </w:rPr>
        <w:t>Spatio</w:t>
      </w:r>
      <w:proofErr w:type="spellEnd"/>
      <w:r w:rsidR="001D5ECD" w:rsidRPr="005B0A67">
        <w:rPr>
          <w:rFonts w:ascii="Garamond" w:eastAsia="Times New Roman" w:hAnsi="Garamond" w:cs="Times New Roman"/>
          <w:sz w:val="24"/>
          <w:szCs w:val="24"/>
          <w:lang w:eastAsia="ko-KR"/>
        </w:rPr>
        <w:t>-temporal boundary and transition issues</w:t>
      </w:r>
      <w:r w:rsidR="001D5ECD" w:rsidRPr="005B0A67">
        <w:rPr>
          <w:rFonts w:ascii="Garamond" w:eastAsia="Times New Roman" w:hAnsi="Garamond"/>
          <w:sz w:val="24"/>
          <w:szCs w:val="24"/>
          <w:lang w:eastAsia="ko-KR"/>
        </w:rPr>
        <w:t xml:space="preserve"> </w:t>
      </w:r>
      <w:r w:rsidR="001D5ECD" w:rsidRPr="005B0A67">
        <w:rPr>
          <w:rFonts w:ascii="Garamond" w:eastAsia="Times New Roman" w:hAnsi="Garamond" w:cs="Times New Roman"/>
          <w:sz w:val="24"/>
          <w:szCs w:val="24"/>
          <w:lang w:eastAsia="ko-KR"/>
        </w:rPr>
        <w:t xml:space="preserve">in the </w:t>
      </w:r>
    </w:p>
    <w:p w:rsidR="00B829AB" w:rsidRDefault="00507F04" w:rsidP="00507F04">
      <w:pPr>
        <w:rPr>
          <w:rFonts w:ascii="Garamond" w:eastAsia="Times New Roman" w:hAnsi="Garamond"/>
          <w:sz w:val="24"/>
          <w:szCs w:val="24"/>
          <w:lang w:eastAsia="ko-KR"/>
        </w:rPr>
      </w:pPr>
      <w:r w:rsidRPr="005B0A67">
        <w:rPr>
          <w:rFonts w:ascii="Garamond" w:eastAsia="Times New Roman" w:hAnsi="Garamond" w:cs="Times New Roman"/>
          <w:sz w:val="24"/>
          <w:szCs w:val="24"/>
          <w:lang w:eastAsia="ko-KR"/>
        </w:rPr>
        <w:tab/>
      </w:r>
      <w:r w:rsidR="001D5ECD" w:rsidRPr="005B0A67">
        <w:rPr>
          <w:rFonts w:ascii="Garamond" w:eastAsia="Times New Roman" w:hAnsi="Garamond" w:cs="Times New Roman"/>
          <w:sz w:val="24"/>
          <w:szCs w:val="24"/>
          <w:lang w:eastAsia="ko-KR"/>
        </w:rPr>
        <w:t xml:space="preserve">unification of the Central, Far Eastern and </w:t>
      </w:r>
      <w:r w:rsidR="00B4348D">
        <w:rPr>
          <w:rFonts w:ascii="Garamond" w:eastAsia="Times New Roman" w:hAnsi="Garamond" w:cs="Times New Roman"/>
          <w:sz w:val="24"/>
          <w:szCs w:val="24"/>
          <w:lang w:eastAsia="ko-KR"/>
        </w:rPr>
        <w:t>South Asia</w:t>
      </w:r>
      <w:r w:rsidR="001D5ECD" w:rsidRPr="005B0A67">
        <w:rPr>
          <w:rFonts w:ascii="Garamond" w:eastAsia="Times New Roman" w:hAnsi="Garamond" w:cs="Times New Roman"/>
          <w:sz w:val="24"/>
          <w:szCs w:val="24"/>
          <w:lang w:eastAsia="ko-KR"/>
        </w:rPr>
        <w:t xml:space="preserve"> states-systems”</w:t>
      </w:r>
      <w:r w:rsidR="001D5ECD" w:rsidRPr="005B0A67">
        <w:rPr>
          <w:rFonts w:ascii="Garamond" w:eastAsia="Times New Roman" w:hAnsi="Garamond"/>
          <w:sz w:val="24"/>
          <w:szCs w:val="24"/>
          <w:lang w:eastAsia="ko-KR"/>
        </w:rPr>
        <w:t xml:space="preserve"> Pp. </w:t>
      </w:r>
      <w:proofErr w:type="spellStart"/>
      <w:r w:rsidR="001D5ECD" w:rsidRPr="005B0A67">
        <w:rPr>
          <w:rFonts w:ascii="Garamond" w:eastAsia="Times New Roman" w:hAnsi="Garamond"/>
          <w:sz w:val="24"/>
          <w:szCs w:val="24"/>
          <w:lang w:eastAsia="ko-KR"/>
        </w:rPr>
        <w:t>xxxx</w:t>
      </w:r>
      <w:proofErr w:type="spellEnd"/>
      <w:r w:rsidR="001D5ECD" w:rsidRPr="005B0A67">
        <w:rPr>
          <w:rFonts w:ascii="Garamond" w:eastAsia="Times New Roman" w:hAnsi="Garamond"/>
          <w:sz w:val="24"/>
          <w:szCs w:val="24"/>
          <w:lang w:eastAsia="ko-KR"/>
        </w:rPr>
        <w:t xml:space="preserve"> in C. Chase-Dunn </w:t>
      </w:r>
    </w:p>
    <w:p w:rsidR="001D5ECD" w:rsidRDefault="001D5ECD" w:rsidP="00B829AB">
      <w:pPr>
        <w:ind w:left="720"/>
        <w:rPr>
          <w:rFonts w:ascii="Garamond" w:hAnsi="Garamond" w:cs="Arial"/>
          <w:color w:val="333333"/>
          <w:sz w:val="24"/>
          <w:szCs w:val="24"/>
          <w:shd w:val="clear" w:color="auto" w:fill="FFFFFF"/>
        </w:rPr>
      </w:pPr>
      <w:r w:rsidRPr="005B0A67">
        <w:rPr>
          <w:rFonts w:ascii="Garamond" w:eastAsia="Times New Roman" w:hAnsi="Garamond"/>
          <w:sz w:val="24"/>
          <w:szCs w:val="24"/>
          <w:lang w:eastAsia="ko-KR"/>
        </w:rPr>
        <w:t xml:space="preserve">and Hiroko Inoue (eds.) </w:t>
      </w:r>
      <w:r w:rsidR="00507F04" w:rsidRPr="005B0A67">
        <w:rPr>
          <w:rFonts w:ascii="Garamond" w:hAnsi="Garamond" w:cs="Courier New"/>
          <w:b/>
          <w:i/>
          <w:color w:val="984806" w:themeColor="accent6" w:themeShade="80"/>
          <w:sz w:val="24"/>
          <w:szCs w:val="24"/>
        </w:rPr>
        <w:t xml:space="preserve">Systemic Boundaries: </w:t>
      </w:r>
      <w:r w:rsidR="00507F04" w:rsidRPr="005B0A67">
        <w:rPr>
          <w:rFonts w:ascii="Garamond" w:eastAsia="Calibri" w:hAnsi="Garamond" w:cs="Courier New"/>
          <w:i/>
          <w:sz w:val="24"/>
          <w:szCs w:val="24"/>
        </w:rPr>
        <w:t>Time Mapping</w:t>
      </w:r>
      <w:r w:rsidR="00B829AB">
        <w:rPr>
          <w:rFonts w:ascii="Garamond" w:eastAsia="Calibri" w:hAnsi="Garamond" w:cs="Courier New"/>
          <w:i/>
          <w:sz w:val="24"/>
          <w:szCs w:val="24"/>
        </w:rPr>
        <w:t xml:space="preserve"> Globalization since the </w:t>
      </w:r>
      <w:proofErr w:type="spellStart"/>
      <w:r w:rsidR="00B829AB">
        <w:rPr>
          <w:rFonts w:ascii="Garamond" w:eastAsia="Calibri" w:hAnsi="Garamond" w:cs="Courier New"/>
          <w:i/>
          <w:sz w:val="24"/>
          <w:szCs w:val="24"/>
        </w:rPr>
        <w:t>Bronze</w:t>
      </w:r>
      <w:r w:rsidR="00507F04" w:rsidRPr="005B0A67">
        <w:rPr>
          <w:rFonts w:ascii="Garamond" w:eastAsia="Calibri" w:hAnsi="Garamond" w:cs="Courier New"/>
          <w:i/>
          <w:sz w:val="24"/>
          <w:szCs w:val="24"/>
        </w:rPr>
        <w:t>Age</w:t>
      </w:r>
      <w:proofErr w:type="spellEnd"/>
      <w:r w:rsidR="00507F04" w:rsidRPr="005B0A67">
        <w:rPr>
          <w:rFonts w:ascii="Garamond" w:eastAsia="Calibri" w:hAnsi="Garamond" w:cs="Courier New"/>
          <w:sz w:val="24"/>
          <w:szCs w:val="24"/>
        </w:rPr>
        <w:t xml:space="preserve"> Vienna: </w:t>
      </w:r>
      <w:r w:rsidR="00507F04" w:rsidRPr="005B0A67">
        <w:rPr>
          <w:rFonts w:ascii="Garamond" w:hAnsi="Garamond" w:cs="Arial"/>
          <w:color w:val="333333"/>
          <w:sz w:val="24"/>
          <w:szCs w:val="24"/>
          <w:shd w:val="clear" w:color="auto" w:fill="FFFFFF"/>
        </w:rPr>
        <w:t>Springer-</w:t>
      </w:r>
      <w:proofErr w:type="spellStart"/>
      <w:r w:rsidR="00507F04" w:rsidRPr="005B0A67">
        <w:rPr>
          <w:rFonts w:ascii="Garamond" w:hAnsi="Garamond" w:cs="Arial"/>
          <w:color w:val="333333"/>
          <w:sz w:val="24"/>
          <w:szCs w:val="24"/>
          <w:shd w:val="clear" w:color="auto" w:fill="FFFFFF"/>
        </w:rPr>
        <w:t>Verlag</w:t>
      </w:r>
      <w:proofErr w:type="spellEnd"/>
      <w:r w:rsidR="00507F04" w:rsidRPr="005B0A67">
        <w:rPr>
          <w:rFonts w:ascii="Garamond" w:hAnsi="Garamond" w:cs="Arial"/>
          <w:color w:val="333333"/>
          <w:sz w:val="24"/>
          <w:szCs w:val="24"/>
          <w:shd w:val="clear" w:color="auto" w:fill="FFFFFF"/>
        </w:rPr>
        <w:t xml:space="preserve"> GmbH</w:t>
      </w:r>
    </w:p>
    <w:p w:rsidR="00207654" w:rsidRPr="005B0A67" w:rsidRDefault="00207654" w:rsidP="00F45669">
      <w:pPr>
        <w:ind w:left="720" w:hanging="720"/>
        <w:rPr>
          <w:rFonts w:ascii="Garamond" w:eastAsia="Times New Roman" w:hAnsi="Garamond" w:cs="Times New Roman"/>
          <w:sz w:val="24"/>
          <w:szCs w:val="24"/>
          <w:lang w:eastAsia="en-US"/>
        </w:rPr>
      </w:pPr>
      <w:r w:rsidRPr="005B0A67">
        <w:rPr>
          <w:rFonts w:ascii="Garamond" w:hAnsi="Garamond"/>
          <w:sz w:val="24"/>
          <w:szCs w:val="24"/>
        </w:rPr>
        <w:t xml:space="preserve">Wilkinson’s Maps: </w:t>
      </w:r>
      <w:hyperlink r:id="rId62" w:history="1">
        <w:r w:rsidRPr="005B0A67">
          <w:rPr>
            <w:rFonts w:ascii="Garamond" w:hAnsi="Garamond"/>
            <w:color w:val="0000FF"/>
            <w:sz w:val="24"/>
            <w:szCs w:val="24"/>
            <w:u w:val="single"/>
          </w:rPr>
          <w:t>http://irows.ucr.edu/research/citemp/asa01/wilkinson.htm</w:t>
        </w:r>
      </w:hyperlink>
    </w:p>
    <w:p w:rsidR="004263DA" w:rsidRPr="005B0A67" w:rsidRDefault="004263DA" w:rsidP="0036146F">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Wilkinson, Toby C., Susan </w:t>
      </w:r>
      <w:proofErr w:type="spellStart"/>
      <w:r w:rsidRPr="005B0A67">
        <w:rPr>
          <w:rFonts w:ascii="Garamond" w:eastAsia="Times New Roman" w:hAnsi="Garamond" w:cs="Times New Roman"/>
          <w:color w:val="000000"/>
          <w:sz w:val="24"/>
          <w:szCs w:val="24"/>
          <w:lang w:eastAsia="en-US"/>
        </w:rPr>
        <w:t>Sherratt</w:t>
      </w:r>
      <w:proofErr w:type="spellEnd"/>
      <w:r w:rsidRPr="005B0A67">
        <w:rPr>
          <w:rFonts w:ascii="Garamond" w:eastAsia="Times New Roman" w:hAnsi="Garamond" w:cs="Times New Roman"/>
          <w:color w:val="000000"/>
          <w:sz w:val="24"/>
          <w:szCs w:val="24"/>
          <w:lang w:eastAsia="en-US"/>
        </w:rPr>
        <w:t> and John Bennet 2011 </w:t>
      </w:r>
      <w:r w:rsidRPr="005B0A67">
        <w:rPr>
          <w:rFonts w:ascii="Garamond" w:eastAsia="Times New Roman" w:hAnsi="Garamond" w:cs="Times New Roman"/>
          <w:i/>
          <w:iCs/>
          <w:color w:val="000000"/>
          <w:sz w:val="24"/>
          <w:szCs w:val="24"/>
          <w:lang w:eastAsia="en-US"/>
        </w:rPr>
        <w:t>Interweaving Worlds: Systemic Interactions in Eurasia, 7</w:t>
      </w:r>
      <w:r w:rsidRPr="005B0A67">
        <w:rPr>
          <w:rFonts w:ascii="Garamond" w:eastAsia="Times New Roman" w:hAnsi="Garamond" w:cs="Times New Roman"/>
          <w:i/>
          <w:iCs/>
          <w:color w:val="000000"/>
          <w:sz w:val="24"/>
          <w:szCs w:val="24"/>
          <w:vertAlign w:val="superscript"/>
          <w:lang w:eastAsia="en-US"/>
        </w:rPr>
        <w:t>th</w:t>
      </w:r>
      <w:r w:rsidRPr="005B0A67">
        <w:rPr>
          <w:rFonts w:ascii="Garamond" w:eastAsia="Times New Roman" w:hAnsi="Garamond" w:cs="Times New Roman"/>
          <w:i/>
          <w:iCs/>
          <w:color w:val="000000"/>
          <w:sz w:val="24"/>
          <w:szCs w:val="24"/>
          <w:lang w:eastAsia="en-US"/>
        </w:rPr>
        <w:t> to 1</w:t>
      </w:r>
      <w:r w:rsidRPr="005B0A67">
        <w:rPr>
          <w:rFonts w:ascii="Garamond" w:eastAsia="Times New Roman" w:hAnsi="Garamond" w:cs="Times New Roman"/>
          <w:i/>
          <w:iCs/>
          <w:color w:val="000000"/>
          <w:sz w:val="24"/>
          <w:szCs w:val="24"/>
          <w:vertAlign w:val="superscript"/>
          <w:lang w:eastAsia="en-US"/>
        </w:rPr>
        <w:t>st</w:t>
      </w:r>
      <w:r w:rsidR="00696473" w:rsidRPr="005B0A67">
        <w:rPr>
          <w:rFonts w:ascii="Garamond" w:eastAsia="Times New Roman" w:hAnsi="Garamond" w:cs="Times New Roman"/>
          <w:i/>
          <w:iCs/>
          <w:color w:val="000000"/>
          <w:sz w:val="24"/>
          <w:szCs w:val="24"/>
          <w:lang w:eastAsia="en-US"/>
        </w:rPr>
        <w:t xml:space="preserve"> Millennia </w:t>
      </w:r>
      <w:r w:rsidRPr="005B0A67">
        <w:rPr>
          <w:rFonts w:ascii="Garamond" w:eastAsia="Times New Roman" w:hAnsi="Garamond" w:cs="Times New Roman"/>
          <w:i/>
          <w:iCs/>
          <w:color w:val="000000"/>
          <w:sz w:val="24"/>
          <w:szCs w:val="24"/>
          <w:lang w:eastAsia="en-US"/>
        </w:rPr>
        <w:t>BC</w:t>
      </w:r>
      <w:r w:rsidRPr="005B0A67">
        <w:rPr>
          <w:rFonts w:ascii="Garamond" w:eastAsia="Times New Roman" w:hAnsi="Garamond" w:cs="Times New Roman"/>
          <w:color w:val="000000"/>
          <w:sz w:val="24"/>
          <w:szCs w:val="24"/>
          <w:lang w:eastAsia="en-US"/>
        </w:rPr>
        <w:t>. Oxford: Oxbow Books.</w:t>
      </w:r>
      <w:r w:rsidR="00696473" w:rsidRPr="005B0A67">
        <w:rPr>
          <w:rFonts w:ascii="Garamond" w:eastAsia="Times New Roman" w:hAnsi="Garamond" w:cs="Times New Roman"/>
          <w:color w:val="000000"/>
          <w:sz w:val="24"/>
          <w:szCs w:val="24"/>
          <w:lang w:eastAsia="en-US"/>
        </w:rPr>
        <w:t xml:space="preserve"> </w:t>
      </w:r>
    </w:p>
    <w:p w:rsidR="004263DA" w:rsidRPr="005B0A67" w:rsidRDefault="004263DA" w:rsidP="00696473">
      <w:pPr>
        <w:ind w:left="720" w:hanging="720"/>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Wohlforth</w:t>
      </w:r>
      <w:proofErr w:type="spellEnd"/>
      <w:r w:rsidRPr="005B0A67">
        <w:rPr>
          <w:rFonts w:ascii="Garamond" w:eastAsia="Times New Roman" w:hAnsi="Garamond" w:cs="Times New Roman"/>
          <w:color w:val="000000"/>
          <w:sz w:val="24"/>
          <w:szCs w:val="24"/>
          <w:lang w:eastAsia="en-US"/>
        </w:rPr>
        <w:t>, William C., Richard Little, Stuart J. Kaufman, David Kang, Charles A Jones,</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Victoria Tin-</w:t>
      </w:r>
      <w:proofErr w:type="spellStart"/>
      <w:r w:rsidRPr="005B0A67">
        <w:rPr>
          <w:rFonts w:ascii="Garamond" w:eastAsia="Times New Roman" w:hAnsi="Garamond" w:cs="Times New Roman"/>
          <w:color w:val="000000"/>
          <w:sz w:val="24"/>
          <w:szCs w:val="24"/>
          <w:lang w:eastAsia="en-US"/>
        </w:rPr>
        <w:t>Bor</w:t>
      </w:r>
      <w:proofErr w:type="spellEnd"/>
      <w:r w:rsidRPr="005B0A67">
        <w:rPr>
          <w:rFonts w:ascii="Garamond" w:eastAsia="Times New Roman" w:hAnsi="Garamond" w:cs="Times New Roman"/>
          <w:color w:val="000000"/>
          <w:sz w:val="24"/>
          <w:szCs w:val="24"/>
          <w:lang w:eastAsia="en-US"/>
        </w:rPr>
        <w:t> Hui, </w:t>
      </w:r>
      <w:proofErr w:type="spellStart"/>
      <w:r w:rsidRPr="005B0A67">
        <w:rPr>
          <w:rFonts w:ascii="Garamond" w:eastAsia="Times New Roman" w:hAnsi="Garamond" w:cs="Times New Roman"/>
          <w:color w:val="000000"/>
          <w:sz w:val="24"/>
          <w:szCs w:val="24"/>
          <w:lang w:eastAsia="en-US"/>
        </w:rPr>
        <w:t>Arther</w:t>
      </w:r>
      <w:proofErr w:type="spellEnd"/>
      <w:r w:rsidRPr="005B0A67">
        <w:rPr>
          <w:rFonts w:ascii="Garamond" w:eastAsia="Times New Roman" w:hAnsi="Garamond" w:cs="Times New Roman"/>
          <w:color w:val="000000"/>
          <w:sz w:val="24"/>
          <w:szCs w:val="24"/>
          <w:lang w:eastAsia="en-US"/>
        </w:rPr>
        <w:t> Eckstein, Daniel </w:t>
      </w:r>
      <w:proofErr w:type="spellStart"/>
      <w:r w:rsidRPr="005B0A67">
        <w:rPr>
          <w:rFonts w:ascii="Garamond" w:eastAsia="Times New Roman" w:hAnsi="Garamond" w:cs="Times New Roman"/>
          <w:color w:val="000000"/>
          <w:sz w:val="24"/>
          <w:szCs w:val="24"/>
          <w:lang w:eastAsia="en-US"/>
        </w:rPr>
        <w:t>Deudney</w:t>
      </w:r>
      <w:proofErr w:type="spellEnd"/>
      <w:r w:rsidRPr="005B0A67">
        <w:rPr>
          <w:rFonts w:ascii="Garamond" w:eastAsia="Times New Roman" w:hAnsi="Garamond" w:cs="Times New Roman"/>
          <w:color w:val="000000"/>
          <w:sz w:val="24"/>
          <w:szCs w:val="24"/>
          <w:lang w:eastAsia="en-US"/>
        </w:rPr>
        <w:t> and William L Brenner 2007</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“Testing balance of power theory in world history” </w:t>
      </w:r>
      <w:r w:rsidRPr="005B0A67">
        <w:rPr>
          <w:rFonts w:ascii="Garamond" w:eastAsia="Times New Roman" w:hAnsi="Garamond" w:cs="Times New Roman"/>
          <w:i/>
          <w:iCs/>
          <w:color w:val="000000"/>
          <w:sz w:val="24"/>
          <w:szCs w:val="24"/>
          <w:lang w:eastAsia="en-US"/>
        </w:rPr>
        <w:t>European Journal of</w:t>
      </w:r>
      <w:r w:rsidR="00696473" w:rsidRPr="005B0A67">
        <w:rPr>
          <w:rFonts w:ascii="Garamond" w:eastAsia="Times New Roman" w:hAnsi="Garamond" w:cs="Times New Roman"/>
          <w:i/>
          <w:iCs/>
          <w:color w:val="000000"/>
          <w:sz w:val="24"/>
          <w:szCs w:val="24"/>
          <w:lang w:eastAsia="en-US"/>
        </w:rPr>
        <w:t xml:space="preserve"> </w:t>
      </w:r>
      <w:r w:rsidRPr="005B0A67">
        <w:rPr>
          <w:rFonts w:ascii="Garamond" w:eastAsia="Times New Roman" w:hAnsi="Garamond" w:cs="Times New Roman"/>
          <w:i/>
          <w:iCs/>
          <w:color w:val="000000"/>
          <w:sz w:val="24"/>
          <w:szCs w:val="24"/>
          <w:lang w:eastAsia="en-US"/>
        </w:rPr>
        <w:t>International Relations</w:t>
      </w:r>
      <w:r w:rsidRPr="005B0A67">
        <w:rPr>
          <w:rFonts w:ascii="Garamond" w:eastAsia="Times New Roman" w:hAnsi="Garamond" w:cs="Times New Roman"/>
          <w:color w:val="000000"/>
          <w:sz w:val="24"/>
          <w:szCs w:val="24"/>
          <w:lang w:eastAsia="en-US"/>
        </w:rPr>
        <w:t> 13,2: 155-185.</w:t>
      </w:r>
    </w:p>
    <w:p w:rsidR="004263DA" w:rsidRPr="005B0A67" w:rsidRDefault="002C2C02"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Wolf</w:t>
      </w:r>
      <w:r w:rsidR="004263DA" w:rsidRPr="005B0A67">
        <w:rPr>
          <w:rFonts w:ascii="Garamond" w:eastAsia="Times New Roman" w:hAnsi="Garamond" w:cs="Times New Roman"/>
          <w:color w:val="000000"/>
          <w:sz w:val="24"/>
          <w:szCs w:val="24"/>
          <w:lang w:eastAsia="en-US"/>
        </w:rPr>
        <w:t>, Eric  1997 </w:t>
      </w:r>
      <w:r w:rsidR="004263DA" w:rsidRPr="005B0A67">
        <w:rPr>
          <w:rFonts w:ascii="Garamond" w:eastAsia="Times New Roman" w:hAnsi="Garamond" w:cs="Times New Roman"/>
          <w:i/>
          <w:iCs/>
          <w:color w:val="000000"/>
          <w:sz w:val="24"/>
          <w:szCs w:val="24"/>
          <w:lang w:eastAsia="en-US"/>
        </w:rPr>
        <w:t>Europe and the People Without History</w:t>
      </w:r>
      <w:r w:rsidR="004263DA" w:rsidRPr="005B0A67">
        <w:rPr>
          <w:rFonts w:ascii="Garamond" w:eastAsia="Times New Roman" w:hAnsi="Garamond" w:cs="Times New Roman"/>
          <w:color w:val="000000"/>
          <w:sz w:val="24"/>
          <w:szCs w:val="24"/>
          <w:lang w:eastAsia="en-US"/>
        </w:rPr>
        <w:t>,  Berkeley: University of California</w:t>
      </w:r>
      <w:r w:rsidR="00696473" w:rsidRPr="005B0A67">
        <w:rPr>
          <w:rFonts w:ascii="Garamond" w:eastAsia="Times New Roman" w:hAnsi="Garamond" w:cs="Times New Roman"/>
          <w:color w:val="000000"/>
          <w:sz w:val="24"/>
          <w:szCs w:val="24"/>
          <w:lang w:eastAsia="en-US"/>
        </w:rPr>
        <w:t xml:space="preserve"> </w:t>
      </w:r>
      <w:r w:rsidR="004263DA" w:rsidRPr="005B0A67">
        <w:rPr>
          <w:rFonts w:ascii="Garamond" w:eastAsia="Times New Roman" w:hAnsi="Garamond" w:cs="Times New Roman"/>
          <w:color w:val="000000"/>
          <w:sz w:val="24"/>
          <w:szCs w:val="24"/>
          <w:lang w:eastAsia="en-US"/>
        </w:rPr>
        <w:t>Press.</w:t>
      </w:r>
    </w:p>
    <w:p w:rsidR="002C1547" w:rsidRPr="005B0A67" w:rsidRDefault="004263DA" w:rsidP="00696473">
      <w:pPr>
        <w:ind w:left="720" w:hanging="720"/>
        <w:rPr>
          <w:rFonts w:ascii="Garamond" w:eastAsia="Times New Roman" w:hAnsi="Garamond" w:cs="Times New Roman"/>
          <w:color w:val="000000"/>
          <w:sz w:val="24"/>
          <w:szCs w:val="24"/>
          <w:lang w:eastAsia="en-US"/>
        </w:rPr>
      </w:pPr>
      <w:r w:rsidRPr="005B0A67">
        <w:rPr>
          <w:rFonts w:ascii="Garamond" w:eastAsia="Times New Roman" w:hAnsi="Garamond" w:cs="Times New Roman"/>
          <w:color w:val="000000"/>
          <w:sz w:val="24"/>
          <w:szCs w:val="24"/>
          <w:lang w:eastAsia="en-US"/>
        </w:rPr>
        <w:t>Wong, R. Bin 1997 </w:t>
      </w:r>
      <w:r w:rsidRPr="005B0A67">
        <w:rPr>
          <w:rFonts w:ascii="Garamond" w:eastAsia="Times New Roman" w:hAnsi="Garamond" w:cs="Times New Roman"/>
          <w:i/>
          <w:iCs/>
          <w:color w:val="000000"/>
          <w:sz w:val="24"/>
          <w:szCs w:val="24"/>
          <w:lang w:eastAsia="en-US"/>
        </w:rPr>
        <w:t>China Transformed: Historical Change and the Limits of European Experience</w:t>
      </w:r>
      <w:r w:rsidRPr="005B0A67">
        <w:rPr>
          <w:rFonts w:ascii="Garamond" w:eastAsia="Times New Roman" w:hAnsi="Garamond" w:cs="Times New Roman"/>
          <w:color w:val="000000"/>
          <w:sz w:val="24"/>
          <w:szCs w:val="24"/>
          <w:lang w:eastAsia="en-US"/>
        </w:rPr>
        <w:t>.</w:t>
      </w:r>
      <w:r w:rsidR="00696473" w:rsidRPr="005B0A67">
        <w:rPr>
          <w:rFonts w:ascii="Garamond" w:eastAsia="Times New Roman" w:hAnsi="Garamond" w:cs="Times New Roman"/>
          <w:color w:val="000000"/>
          <w:sz w:val="24"/>
          <w:szCs w:val="24"/>
          <w:lang w:eastAsia="en-US"/>
        </w:rPr>
        <w:t xml:space="preserve"> </w:t>
      </w:r>
      <w:r w:rsidRPr="005B0A67">
        <w:rPr>
          <w:rFonts w:ascii="Garamond" w:eastAsia="Times New Roman" w:hAnsi="Garamond" w:cs="Times New Roman"/>
          <w:color w:val="000000"/>
          <w:sz w:val="24"/>
          <w:szCs w:val="24"/>
          <w:lang w:eastAsia="en-US"/>
        </w:rPr>
        <w:t>Ithaca: Cornell University Press.</w:t>
      </w:r>
    </w:p>
    <w:p w:rsidR="00194C45" w:rsidRPr="005B0A67" w:rsidRDefault="00194C45" w:rsidP="00194C45">
      <w:pPr>
        <w:ind w:left="720" w:hanging="720"/>
        <w:jc w:val="both"/>
        <w:rPr>
          <w:rFonts w:ascii="Garamond" w:eastAsia="Times New Roman" w:hAnsi="Garamond" w:cs="Times New Roman"/>
          <w:color w:val="000000"/>
          <w:sz w:val="24"/>
          <w:szCs w:val="24"/>
          <w:lang w:eastAsia="en-US"/>
        </w:rPr>
      </w:pPr>
      <w:proofErr w:type="spellStart"/>
      <w:r w:rsidRPr="005B0A67">
        <w:rPr>
          <w:rFonts w:ascii="Garamond" w:eastAsia="Times New Roman" w:hAnsi="Garamond" w:cs="Times New Roman"/>
          <w:color w:val="000000"/>
          <w:sz w:val="24"/>
          <w:szCs w:val="24"/>
          <w:lang w:eastAsia="en-US"/>
        </w:rPr>
        <w:t>Yoffee</w:t>
      </w:r>
      <w:proofErr w:type="spellEnd"/>
      <w:r w:rsidRPr="005B0A67">
        <w:rPr>
          <w:rFonts w:ascii="Garamond" w:eastAsia="Times New Roman" w:hAnsi="Garamond" w:cs="Times New Roman"/>
          <w:color w:val="000000"/>
          <w:sz w:val="24"/>
          <w:szCs w:val="24"/>
          <w:lang w:eastAsia="en-US"/>
        </w:rPr>
        <w:t>, Norman 2006. </w:t>
      </w:r>
      <w:r w:rsidRPr="005B0A67">
        <w:rPr>
          <w:rFonts w:ascii="Garamond" w:eastAsia="Times New Roman" w:hAnsi="Garamond" w:cs="Times New Roman"/>
          <w:i/>
          <w:iCs/>
          <w:color w:val="000000"/>
          <w:sz w:val="24"/>
          <w:szCs w:val="24"/>
          <w:lang w:eastAsia="en-US"/>
        </w:rPr>
        <w:t>Myths of the Archaic State: Evolution of the Earliest Cities, States, and Civilizations</w:t>
      </w:r>
      <w:r w:rsidRPr="005B0A67">
        <w:rPr>
          <w:rFonts w:ascii="Garamond" w:eastAsia="Times New Roman" w:hAnsi="Garamond" w:cs="Times New Roman"/>
          <w:color w:val="000000"/>
          <w:sz w:val="24"/>
          <w:szCs w:val="24"/>
          <w:lang w:eastAsia="en-US"/>
        </w:rPr>
        <w:t>. New York: Cambridge University Press.</w:t>
      </w:r>
    </w:p>
    <w:p w:rsidR="00194C45" w:rsidRPr="005B0A67" w:rsidRDefault="00194C45" w:rsidP="00194C45">
      <w:pPr>
        <w:ind w:left="720" w:hanging="720"/>
        <w:jc w:val="both"/>
        <w:rPr>
          <w:rStyle w:val="apple-converted-space"/>
          <w:rFonts w:ascii="Garamond" w:eastAsia="SimSun" w:hAnsi="Garamond"/>
          <w:color w:val="000000"/>
          <w:sz w:val="24"/>
          <w:szCs w:val="24"/>
        </w:rPr>
      </w:pPr>
      <w:r w:rsidRPr="005B0A67">
        <w:rPr>
          <w:rFonts w:ascii="Garamond" w:eastAsia="Times New Roman" w:hAnsi="Garamond" w:cs="Times New Roman"/>
          <w:color w:val="000000"/>
          <w:sz w:val="24"/>
          <w:szCs w:val="24"/>
          <w:lang w:eastAsia="en-US"/>
        </w:rPr>
        <w:t xml:space="preserve">____________ </w:t>
      </w:r>
      <w:r w:rsidRPr="005B0A67">
        <w:rPr>
          <w:rFonts w:ascii="Garamond" w:eastAsia="SimSun" w:hAnsi="Garamond"/>
          <w:color w:val="000000"/>
          <w:sz w:val="24"/>
          <w:szCs w:val="24"/>
        </w:rPr>
        <w:t xml:space="preserve">2015 </w:t>
      </w:r>
      <w:r w:rsidRPr="005B0A67">
        <w:rPr>
          <w:rFonts w:ascii="Garamond" w:eastAsia="SimSun" w:hAnsi="Garamond"/>
          <w:i/>
          <w:color w:val="000000"/>
          <w:sz w:val="24"/>
          <w:szCs w:val="24"/>
        </w:rPr>
        <w:t>The Cambridge World History, Volume 3 Early Cities in Comparative Perspective, 4000 BCE- 12 CE.</w:t>
      </w:r>
      <w:r w:rsidRPr="005B0A67">
        <w:rPr>
          <w:rFonts w:ascii="Garamond" w:eastAsia="SimSun" w:hAnsi="Garamond"/>
          <w:color w:val="000000"/>
          <w:sz w:val="24"/>
          <w:szCs w:val="24"/>
        </w:rPr>
        <w:t xml:space="preserve"> Cambridge; Cambridge University Press</w:t>
      </w:r>
      <w:r w:rsidRPr="005B0A67">
        <w:rPr>
          <w:rStyle w:val="apple-converted-space"/>
          <w:rFonts w:ascii="Garamond" w:eastAsia="SimSun" w:hAnsi="Garamond"/>
          <w:color w:val="000000"/>
          <w:sz w:val="24"/>
          <w:szCs w:val="24"/>
        </w:rPr>
        <w:t> </w:t>
      </w:r>
    </w:p>
    <w:p w:rsidR="00194C45" w:rsidRDefault="00B10D9A" w:rsidP="00990A61">
      <w:pPr>
        <w:ind w:left="720"/>
        <w:jc w:val="both"/>
        <w:rPr>
          <w:rStyle w:val="Hyperlink"/>
          <w:rFonts w:ascii="Courier New" w:hAnsi="Courier New" w:cs="Courier New"/>
          <w:sz w:val="16"/>
          <w:szCs w:val="16"/>
        </w:rPr>
      </w:pPr>
      <w:hyperlink r:id="rId63" w:history="1">
        <w:r w:rsidR="00194C45" w:rsidRPr="00194C45">
          <w:rPr>
            <w:rStyle w:val="Hyperlink"/>
            <w:rFonts w:ascii="Courier New" w:hAnsi="Courier New" w:cs="Courier New"/>
            <w:sz w:val="16"/>
            <w:szCs w:val="16"/>
          </w:rPr>
          <w:t>http://metrocosm.com/history-of-cities/</w:t>
        </w:r>
      </w:hyperlink>
    </w:p>
    <w:p w:rsidR="00B77466" w:rsidRPr="0030365C" w:rsidRDefault="00B77466" w:rsidP="0030365C">
      <w:pPr>
        <w:shd w:val="clear" w:color="auto" w:fill="FFFFFF"/>
        <w:textAlignment w:val="baseline"/>
        <w:rPr>
          <w:rFonts w:ascii="Arial" w:eastAsia="Times New Roman" w:hAnsi="Arial" w:cs="Arial"/>
          <w:color w:val="000000"/>
          <w:sz w:val="21"/>
          <w:szCs w:val="21"/>
          <w:lang w:eastAsia="en-US"/>
        </w:rPr>
      </w:pPr>
      <w:r>
        <w:rPr>
          <w:rFonts w:ascii="inherit" w:eastAsia="Times New Roman" w:hAnsi="inherit" w:cs="Arial"/>
          <w:color w:val="000000"/>
          <w:sz w:val="21"/>
          <w:szCs w:val="21"/>
          <w:bdr w:val="none" w:sz="0" w:space="0" w:color="auto" w:frame="1"/>
          <w:lang w:eastAsia="en-US"/>
        </w:rPr>
        <w:tab/>
      </w:r>
    </w:p>
    <w:p w:rsidR="0030365C" w:rsidRPr="00194C45" w:rsidRDefault="0030365C" w:rsidP="00194C45">
      <w:pPr>
        <w:ind w:left="720" w:hanging="720"/>
        <w:jc w:val="both"/>
        <w:rPr>
          <w:rStyle w:val="Hyperlink"/>
          <w:rFonts w:ascii="Courier New" w:hAnsi="Courier New" w:cs="Courier New"/>
          <w:sz w:val="16"/>
          <w:szCs w:val="16"/>
        </w:rPr>
      </w:pPr>
    </w:p>
    <w:sectPr w:rsidR="0030365C" w:rsidRPr="00194C45" w:rsidSect="003944E9">
      <w:footerReference w:type="default" r:id="rId6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995" w:rsidRDefault="00D45995">
      <w:pPr>
        <w:rPr>
          <w:rFonts w:ascii="Times New Roman" w:hAnsi="Times New Roman" w:cs="Times New Roman"/>
        </w:rPr>
      </w:pPr>
      <w:r>
        <w:rPr>
          <w:rFonts w:ascii="Times New Roman" w:hAnsi="Times New Roman" w:cs="Times New Roman"/>
        </w:rPr>
        <w:separator/>
      </w:r>
    </w:p>
  </w:endnote>
  <w:endnote w:type="continuationSeparator" w:id="0">
    <w:p w:rsidR="00D45995" w:rsidRDefault="00D45995">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Gisha">
    <w:altName w:val="Malgun Gothic Semilight"/>
    <w:panose1 w:val="020B0502040204020203"/>
    <w:charset w:val="00"/>
    <w:family w:val="swiss"/>
    <w:pitch w:val="variable"/>
    <w:sig w:usb0="00000000" w:usb1="40000042"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Italic">
    <w:panose1 w:val="00000000000000000000"/>
    <w:charset w:val="00"/>
    <w:family w:val="swiss"/>
    <w:notTrueType/>
    <w:pitch w:val="default"/>
    <w:sig w:usb0="00000003" w:usb1="00000000" w:usb2="00000000" w:usb3="00000000" w:csb0="00000001" w:csb1="00000000"/>
  </w:font>
  <w:font w:name="Baskerville">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394373"/>
      <w:docPartObj>
        <w:docPartGallery w:val="Page Numbers (Bottom of Page)"/>
        <w:docPartUnique/>
      </w:docPartObj>
    </w:sdtPr>
    <w:sdtEndPr>
      <w:rPr>
        <w:noProof/>
      </w:rPr>
    </w:sdtEndPr>
    <w:sdtContent>
      <w:p w:rsidR="00B10D9A" w:rsidRDefault="00B10D9A">
        <w:pPr>
          <w:pStyle w:val="Footer"/>
          <w:jc w:val="center"/>
        </w:pPr>
        <w:r>
          <w:fldChar w:fldCharType="begin"/>
        </w:r>
        <w:r>
          <w:instrText xml:space="preserve"> PAGE   \* MERGEFORMAT </w:instrText>
        </w:r>
        <w:r>
          <w:fldChar w:fldCharType="separate"/>
        </w:r>
        <w:r w:rsidR="00C26601">
          <w:rPr>
            <w:noProof/>
          </w:rPr>
          <w:t>1</w:t>
        </w:r>
        <w:r>
          <w:rPr>
            <w:noProof/>
          </w:rPr>
          <w:fldChar w:fldCharType="end"/>
        </w:r>
      </w:p>
    </w:sdtContent>
  </w:sdt>
  <w:p w:rsidR="00B10D9A" w:rsidRDefault="00B10D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995" w:rsidRDefault="00D45995">
      <w:pPr>
        <w:rPr>
          <w:rFonts w:ascii="Times New Roman" w:hAnsi="Times New Roman" w:cs="Times New Roman"/>
        </w:rPr>
      </w:pPr>
      <w:r>
        <w:rPr>
          <w:rFonts w:ascii="Times New Roman" w:hAnsi="Times New Roman" w:cs="Times New Roman"/>
        </w:rPr>
        <w:separator/>
      </w:r>
    </w:p>
  </w:footnote>
  <w:footnote w:type="continuationSeparator" w:id="0">
    <w:p w:rsidR="00D45995" w:rsidRDefault="00D45995">
      <w:pPr>
        <w:rPr>
          <w:rFonts w:ascii="Times New Roman" w:hAnsi="Times New Roman" w:cs="Times New Roman"/>
        </w:rPr>
      </w:pPr>
      <w:r>
        <w:rPr>
          <w:rFonts w:ascii="Times New Roman" w:hAnsi="Times New Roman" w:cs="Times New Roman"/>
        </w:rPr>
        <w:continuationSeparator/>
      </w:r>
    </w:p>
  </w:footnote>
  <w:footnote w:id="1">
    <w:p w:rsidR="00B10D9A" w:rsidRDefault="00B10D9A">
      <w:pPr>
        <w:pStyle w:val="FootnoteText"/>
      </w:pPr>
      <w:r>
        <w:rPr>
          <w:rStyle w:val="FootnoteReference"/>
        </w:rPr>
        <w:footnoteRef/>
      </w:r>
      <w:r>
        <w:t xml:space="preserve"> </w:t>
      </w:r>
      <w:r>
        <w:rPr>
          <w:rFonts w:ascii="Garamond" w:hAnsi="Garamond"/>
          <w:color w:val="000000"/>
        </w:rPr>
        <w:t>A</w:t>
      </w:r>
      <w:r>
        <w:rPr>
          <w:rStyle w:val="apple-converted-space"/>
          <w:rFonts w:ascii="Garamond" w:hAnsi="Garamond"/>
          <w:color w:val="000000"/>
        </w:rPr>
        <w:t> </w:t>
      </w:r>
      <w:proofErr w:type="spellStart"/>
      <w:r>
        <w:rPr>
          <w:rStyle w:val="spelle"/>
          <w:rFonts w:ascii="Garamond" w:hAnsi="Garamond"/>
          <w:color w:val="000000"/>
        </w:rPr>
        <w:t>downsweep</w:t>
      </w:r>
      <w:proofErr w:type="spellEnd"/>
      <w:r>
        <w:rPr>
          <w:rStyle w:val="apple-converted-space"/>
          <w:rFonts w:ascii="Garamond" w:hAnsi="Garamond"/>
          <w:color w:val="000000"/>
        </w:rPr>
        <w:t> </w:t>
      </w:r>
      <w:r>
        <w:rPr>
          <w:rFonts w:ascii="Garamond" w:hAnsi="Garamond"/>
          <w:color w:val="000000"/>
        </w:rPr>
        <w:t>is a low point (trough) that is at least 1/3 lower than the average of the three previous troughs.</w:t>
      </w:r>
    </w:p>
  </w:footnote>
  <w:footnote w:id="2">
    <w:p w:rsidR="00B10D9A" w:rsidRPr="007D4787" w:rsidRDefault="00B10D9A" w:rsidP="007D4787">
      <w:pPr>
        <w:pStyle w:val="FootnoteText"/>
        <w:rPr>
          <w:rFonts w:ascii="Garamond" w:hAnsi="Garamond"/>
        </w:rPr>
      </w:pPr>
      <w:r w:rsidRPr="001672CE">
        <w:rPr>
          <w:rStyle w:val="FootnoteReference"/>
          <w:rFonts w:ascii="Garamond" w:hAnsi="Garamond"/>
        </w:rPr>
        <w:footnoteRef/>
      </w:r>
      <w:r w:rsidRPr="001672CE">
        <w:rPr>
          <w:rFonts w:ascii="Garamond" w:hAnsi="Garamond"/>
        </w:rPr>
        <w:t xml:space="preserve"> </w:t>
      </w:r>
      <w:r w:rsidRPr="007D4787">
        <w:rPr>
          <w:rFonts w:ascii="Garamond" w:hAnsi="Garamond"/>
        </w:rPr>
        <w:t xml:space="preserve">World-systems are defined as being composed of those human settlements and polities within a region that are importantly interacting with one another (Chase-Dunn and Hall 1997; Chase-Dunn and </w:t>
      </w:r>
      <w:proofErr w:type="spellStart"/>
      <w:r w:rsidRPr="007D4787">
        <w:rPr>
          <w:rFonts w:ascii="Garamond" w:hAnsi="Garamond"/>
        </w:rPr>
        <w:t>Lerro</w:t>
      </w:r>
      <w:proofErr w:type="spellEnd"/>
      <w:r w:rsidRPr="007D4787">
        <w:rPr>
          <w:rFonts w:ascii="Garamond" w:hAnsi="Garamond"/>
        </w:rPr>
        <w:t xml:space="preserve"> 2014). When communication and transportation technologies were less developed world-systems were small.</w:t>
      </w:r>
    </w:p>
  </w:footnote>
  <w:footnote w:id="3">
    <w:p w:rsidR="00B10D9A" w:rsidRPr="007D4787" w:rsidRDefault="00B10D9A" w:rsidP="007D4787">
      <w:pPr>
        <w:pStyle w:val="FootnoteText"/>
        <w:rPr>
          <w:rFonts w:ascii="Garamond" w:hAnsi="Garamond"/>
        </w:rPr>
      </w:pPr>
      <w:r w:rsidRPr="007D4787">
        <w:rPr>
          <w:rStyle w:val="FootnoteReference"/>
          <w:rFonts w:ascii="Garamond" w:hAnsi="Garamond"/>
        </w:rPr>
        <w:footnoteRef/>
      </w:r>
      <w:r w:rsidRPr="007D4787">
        <w:rPr>
          <w:rFonts w:ascii="Garamond" w:hAnsi="Garamond"/>
        </w:rPr>
        <w:t xml:space="preserve"> Settlement is a general term that includes camps, hamlets, villages, towns, cities and the great megacity urban regions that compose the contemporary global urban system.</w:t>
      </w:r>
      <w:r>
        <w:rPr>
          <w:rFonts w:ascii="Garamond" w:hAnsi="Garamond"/>
        </w:rPr>
        <w:t xml:space="preserve"> </w:t>
      </w:r>
    </w:p>
  </w:footnote>
  <w:footnote w:id="4">
    <w:p w:rsidR="00B10D9A" w:rsidRPr="007D4787" w:rsidRDefault="00B10D9A" w:rsidP="007D4787">
      <w:pPr>
        <w:pStyle w:val="FootnoteText"/>
        <w:rPr>
          <w:rFonts w:ascii="Garamond" w:hAnsi="Garamond"/>
        </w:rPr>
      </w:pPr>
      <w:r w:rsidRPr="007D4787">
        <w:rPr>
          <w:rStyle w:val="FootnoteReference"/>
          <w:rFonts w:ascii="Garamond" w:hAnsi="Garamond"/>
        </w:rPr>
        <w:footnoteRef/>
      </w:r>
      <w:r w:rsidRPr="007D4787">
        <w:rPr>
          <w:rFonts w:ascii="Garamond" w:hAnsi="Garamond"/>
        </w:rPr>
        <w:t xml:space="preserve"> This article reports results from a research project on the growth of settlements and polities in regional world-systems since the Stone Age.  The project is the </w:t>
      </w:r>
      <w:r w:rsidRPr="007D4787">
        <w:rPr>
          <w:rFonts w:ascii="Garamond" w:hAnsi="Garamond"/>
          <w:i/>
        </w:rPr>
        <w:t xml:space="preserve">Settlements </w:t>
      </w:r>
      <w:r>
        <w:rPr>
          <w:rFonts w:ascii="Garamond" w:hAnsi="Garamond"/>
          <w:i/>
        </w:rPr>
        <w:t>and Polities (</w:t>
      </w:r>
      <w:proofErr w:type="spellStart"/>
      <w:r>
        <w:rPr>
          <w:rFonts w:ascii="Garamond" w:hAnsi="Garamond"/>
          <w:i/>
        </w:rPr>
        <w:t>SetPol</w:t>
      </w:r>
      <w:proofErr w:type="spellEnd"/>
      <w:r>
        <w:rPr>
          <w:rFonts w:ascii="Garamond" w:hAnsi="Garamond"/>
          <w:i/>
        </w:rPr>
        <w:t xml:space="preserve">) </w:t>
      </w:r>
      <w:r w:rsidRPr="007D4787">
        <w:rPr>
          <w:rFonts w:ascii="Garamond" w:hAnsi="Garamond"/>
          <w:i/>
        </w:rPr>
        <w:t>Research Working Group</w:t>
      </w:r>
      <w:r>
        <w:rPr>
          <w:rFonts w:ascii="Garamond" w:hAnsi="Garamond"/>
        </w:rPr>
        <w:t xml:space="preserve"> at the Institute for</w:t>
      </w:r>
      <w:r w:rsidRPr="007D4787">
        <w:rPr>
          <w:rFonts w:ascii="Garamond" w:hAnsi="Garamond"/>
        </w:rPr>
        <w:t xml:space="preserve"> Research on World-Systems at the University of California-Riverside. The project uses both quantitative estimates of the population sizes of the largest settlements in world regions as well as estimates of the territorial sizes of largest polities to study the location and timing of changes in the scale of human institutions. The project web site is at </w:t>
      </w:r>
      <w:hyperlink r:id="rId1" w:history="1">
        <w:r w:rsidRPr="007D4787">
          <w:rPr>
            <w:rStyle w:val="Hyperlink"/>
            <w:rFonts w:ascii="Garamond" w:hAnsi="Garamond"/>
          </w:rPr>
          <w:t>http://irows.ucr.edu/research/citemp/citemp.html</w:t>
        </w:r>
      </w:hyperlink>
      <w:r>
        <w:rPr>
          <w:rFonts w:ascii="Garamond" w:hAnsi="Garamond"/>
        </w:rPr>
        <w:t>.</w:t>
      </w:r>
      <w:r>
        <w:rPr>
          <w:rStyle w:val="apple-converted-space"/>
          <w:rFonts w:ascii="Garamond" w:hAnsi="Garamond"/>
          <w:color w:val="000000"/>
        </w:rPr>
        <w:t> </w:t>
      </w:r>
      <w:r>
        <w:rPr>
          <w:rFonts w:ascii="Garamond" w:hAnsi="Garamond"/>
          <w:color w:val="000000"/>
        </w:rPr>
        <w:t>IROWS collaborates with SESHAT: The Global History Data Bank.</w:t>
      </w:r>
    </w:p>
  </w:footnote>
  <w:footnote w:id="5">
    <w:p w:rsidR="00B10D9A" w:rsidRPr="007D4787" w:rsidRDefault="00B10D9A" w:rsidP="007D4787">
      <w:pPr>
        <w:pStyle w:val="FootnoteText"/>
        <w:rPr>
          <w:rFonts w:ascii="Garamond" w:hAnsi="Garamond"/>
        </w:rPr>
      </w:pPr>
      <w:r w:rsidRPr="007D4787">
        <w:rPr>
          <w:rStyle w:val="FootnoteReference"/>
          <w:rFonts w:ascii="Garamond" w:hAnsi="Garamond"/>
        </w:rPr>
        <w:footnoteRef/>
      </w:r>
      <w:r w:rsidRPr="007D4787">
        <w:rPr>
          <w:rFonts w:ascii="Garamond" w:hAnsi="Garamond"/>
        </w:rPr>
        <w:t xml:space="preserve"> We use the term “polity” to generally denote a spatially-bounded realm of sovereign authority such as a band, tribe, chiefdom, state or empire.  Our study of polity size upsweeps is presented in Inoue </w:t>
      </w:r>
      <w:r w:rsidRPr="007D4787">
        <w:rPr>
          <w:rFonts w:ascii="Garamond" w:hAnsi="Garamond"/>
          <w:i/>
        </w:rPr>
        <w:t xml:space="preserve">et al </w:t>
      </w:r>
      <w:r w:rsidRPr="007D4787">
        <w:rPr>
          <w:rFonts w:ascii="Garamond" w:hAnsi="Garamond"/>
        </w:rPr>
        <w:t>(2012).</w:t>
      </w:r>
    </w:p>
  </w:footnote>
  <w:footnote w:id="6">
    <w:p w:rsidR="00B10D9A" w:rsidRPr="007D4787" w:rsidRDefault="00B10D9A" w:rsidP="007D4787">
      <w:pPr>
        <w:pStyle w:val="FootnoteText"/>
        <w:rPr>
          <w:rFonts w:ascii="Garamond" w:hAnsi="Garamond"/>
        </w:rPr>
      </w:pPr>
      <w:r w:rsidRPr="007D4787">
        <w:rPr>
          <w:rStyle w:val="FootnoteReference"/>
          <w:rFonts w:ascii="Garamond" w:hAnsi="Garamond"/>
        </w:rPr>
        <w:footnoteRef/>
      </w:r>
      <w:r w:rsidRPr="007D4787">
        <w:rPr>
          <w:rFonts w:ascii="Garamond" w:hAnsi="Garamond"/>
        </w:rPr>
        <w:t xml:space="preserve"> The normal cycle roughly approximates a sine wave, although few cycles that involve the behavior of humans actually display the perfect regularity of amplitude and period found in the pure sine wave.</w:t>
      </w:r>
    </w:p>
  </w:footnote>
  <w:footnote w:id="7">
    <w:p w:rsidR="00B10D9A" w:rsidRDefault="00B10D9A" w:rsidP="00C61189">
      <w:pPr>
        <w:pStyle w:val="FootnoteText"/>
      </w:pPr>
      <w:r>
        <w:rPr>
          <w:rStyle w:val="FootnoteReference"/>
          <w:rFonts w:ascii="Garamond" w:hAnsi="Garamond"/>
        </w:rPr>
        <w:footnoteRef/>
      </w:r>
      <w:r>
        <w:rPr>
          <w:rFonts w:ascii="Garamond" w:hAnsi="Garamond"/>
        </w:rPr>
        <w:t xml:space="preserve"> This cutting point specifies what we mean by “significant” in a way that can be used to systematically compare widely different times and places.</w:t>
      </w:r>
    </w:p>
  </w:footnote>
  <w:footnote w:id="8">
    <w:p w:rsidR="00B10D9A" w:rsidRPr="009360B7" w:rsidRDefault="00B10D9A" w:rsidP="005651E8">
      <w:pPr>
        <w:pStyle w:val="FootnoteText"/>
        <w:rPr>
          <w:rFonts w:ascii="Garamond" w:hAnsi="Garamond"/>
        </w:rPr>
      </w:pPr>
      <w:r w:rsidRPr="009360B7">
        <w:rPr>
          <w:rStyle w:val="FootnoteReference"/>
          <w:rFonts w:ascii="Garamond" w:hAnsi="Garamond"/>
        </w:rPr>
        <w:footnoteRef/>
      </w:r>
      <w:r w:rsidRPr="009360B7">
        <w:rPr>
          <w:rFonts w:ascii="Garamond" w:hAnsi="Garamond"/>
        </w:rPr>
        <w:t xml:space="preserve"> The idea of the Central Political/Military Network (PMN) is derived from David Wilkinson’s (1987) definition of “Central Civil</w:t>
      </w:r>
      <w:r>
        <w:rPr>
          <w:rFonts w:ascii="Garamond" w:hAnsi="Garamond"/>
        </w:rPr>
        <w:t xml:space="preserve">ization.” It spatially bounds </w:t>
      </w:r>
      <w:r w:rsidRPr="009360B7">
        <w:rPr>
          <w:rFonts w:ascii="Garamond" w:hAnsi="Garamond"/>
        </w:rPr>
        <w:t>system</w:t>
      </w:r>
      <w:r>
        <w:rPr>
          <w:rFonts w:ascii="Garamond" w:hAnsi="Garamond"/>
        </w:rPr>
        <w:t>ic networks as</w:t>
      </w:r>
      <w:r w:rsidRPr="009360B7">
        <w:rPr>
          <w:rFonts w:ascii="Garamond" w:hAnsi="Garamond"/>
        </w:rPr>
        <w:t xml:space="preserve"> set</w:t>
      </w:r>
      <w:r>
        <w:rPr>
          <w:rFonts w:ascii="Garamond" w:hAnsi="Garamond"/>
        </w:rPr>
        <w:t>s</w:t>
      </w:r>
      <w:r w:rsidRPr="009360B7">
        <w:rPr>
          <w:rFonts w:ascii="Garamond" w:hAnsi="Garamond"/>
        </w:rPr>
        <w:t xml:space="preserve"> of allying and fighting polities.  The Central Political-Military Network is the interstate system that was created when the Mesopotamian and Egyptian PMNs became directly connected with one another in about 1500 BCE.  The Central PMN expanded in waves until it came to encompass the whole Earth in the 19</w:t>
      </w:r>
      <w:r w:rsidRPr="009360B7">
        <w:rPr>
          <w:rFonts w:ascii="Garamond" w:hAnsi="Garamond"/>
          <w:vertAlign w:val="superscript"/>
        </w:rPr>
        <w:t>th</w:t>
      </w:r>
      <w:r w:rsidRPr="009360B7">
        <w:rPr>
          <w:rFonts w:ascii="Garamond" w:hAnsi="Garamond"/>
        </w:rPr>
        <w:t xml:space="preserve"> century CE.  Because it was an expanding system its spatial boundaries changed over time.  We mainly follow Wilkinson’s decisions about when and where the Central System expanded, and the temporal bounding of the regions we are studying also follows Wilkinson’s dating of when these regions became incorporated into the expanding Central PMN.  The contemporary global PMN is the international system of states.  The merger of the Mesopotamian and Egyptian interstate systems began as a result of Eighteenth Dynasty Egypt’s invasions, conquests, and diplomatic relations with states of the Southwest </w:t>
      </w:r>
      <w:r>
        <w:rPr>
          <w:rFonts w:ascii="Garamond" w:hAnsi="Garamond"/>
        </w:rPr>
        <w:t>Asian (Mesopotamian) systems—</w:t>
      </w:r>
      <w:r w:rsidRPr="009360B7">
        <w:rPr>
          <w:rFonts w:ascii="Garamond" w:hAnsi="Garamond"/>
        </w:rPr>
        <w:t>first</w:t>
      </w:r>
      <w:r>
        <w:rPr>
          <w:rFonts w:ascii="Garamond" w:hAnsi="Garamond"/>
        </w:rPr>
        <w:t xml:space="preserve"> </w:t>
      </w:r>
      <w:r w:rsidRPr="009360B7">
        <w:rPr>
          <w:rFonts w:ascii="Garamond" w:hAnsi="Garamond"/>
        </w:rPr>
        <w:t xml:space="preserve">of all Mitanni, then the Hittites, Babylon, and Assyria.  The signal event was </w:t>
      </w:r>
      <w:proofErr w:type="spellStart"/>
      <w:r w:rsidRPr="009360B7">
        <w:rPr>
          <w:rStyle w:val="spelle"/>
          <w:rFonts w:ascii="Garamond" w:hAnsi="Garamond"/>
        </w:rPr>
        <w:t>Thutmosis</w:t>
      </w:r>
      <w:proofErr w:type="spellEnd"/>
      <w:r w:rsidRPr="009360B7">
        <w:rPr>
          <w:rFonts w:ascii="Garamond" w:hAnsi="Garamond"/>
        </w:rPr>
        <w:t xml:space="preserve"> I’s invasion of Syria in about 1505 BCE.  The fusion of the systems began then but enlarged and intensified until 1350 BCE.  </w:t>
      </w:r>
      <w:proofErr w:type="spellStart"/>
      <w:r w:rsidRPr="009360B7">
        <w:rPr>
          <w:rStyle w:val="spelle"/>
          <w:rFonts w:ascii="Garamond" w:hAnsi="Garamond"/>
        </w:rPr>
        <w:t>Thutmosis</w:t>
      </w:r>
      <w:proofErr w:type="spellEnd"/>
      <w:r w:rsidRPr="009360B7">
        <w:rPr>
          <w:rFonts w:ascii="Garamond" w:hAnsi="Garamond"/>
        </w:rPr>
        <w:t xml:space="preserve"> III’s many campaigns in Syria and the establishment of tributary relations, wars and peace-making under Amenhotep II, as well as the peaceful relations and alliance with Mitanni by </w:t>
      </w:r>
      <w:proofErr w:type="spellStart"/>
      <w:r w:rsidRPr="009360B7">
        <w:rPr>
          <w:rStyle w:val="spelle"/>
          <w:rFonts w:ascii="Garamond" w:hAnsi="Garamond"/>
        </w:rPr>
        <w:t>Thutmosis</w:t>
      </w:r>
      <w:proofErr w:type="spellEnd"/>
      <w:r w:rsidRPr="009360B7">
        <w:rPr>
          <w:rFonts w:ascii="Garamond" w:hAnsi="Garamond"/>
        </w:rPr>
        <w:t xml:space="preserve"> IV, eventually led to Egyptian hegemony under Amenhotep III (Wilkinson </w:t>
      </w:r>
      <w:r w:rsidRPr="009360B7">
        <w:rPr>
          <w:rFonts w:ascii="Garamond" w:hAnsi="Garamond" w:cs="Arial"/>
        </w:rPr>
        <w:t>pers. comm. Friday, April 15, 2011</w:t>
      </w:r>
      <w:r w:rsidRPr="009360B7">
        <w:rPr>
          <w:rFonts w:ascii="Garamond" w:hAnsi="Garamond"/>
        </w:rPr>
        <w:t xml:space="preserve">). The final linking of the South Asian PMN with the Central PMN was begun by the incursion of </w:t>
      </w:r>
      <w:r w:rsidRPr="009360B7">
        <w:rPr>
          <w:rFonts w:ascii="Garamond" w:hAnsi="Garamond" w:cs="Courier New"/>
        </w:rPr>
        <w:t xml:space="preserve">Mahmud of </w:t>
      </w:r>
      <w:proofErr w:type="spellStart"/>
      <w:r w:rsidRPr="009360B7">
        <w:rPr>
          <w:rStyle w:val="spelle"/>
          <w:rFonts w:ascii="Garamond" w:hAnsi="Garamond" w:cs="Courier New"/>
        </w:rPr>
        <w:t>Ghazni</w:t>
      </w:r>
      <w:proofErr w:type="spellEnd"/>
      <w:r w:rsidRPr="009360B7">
        <w:rPr>
          <w:rFonts w:ascii="Garamond" w:hAnsi="Garamond" w:cs="Courier New"/>
        </w:rPr>
        <w:t xml:space="preserve"> in 1008 CE. </w:t>
      </w:r>
      <w:r w:rsidRPr="009360B7">
        <w:rPr>
          <w:rFonts w:ascii="Garamond" w:hAnsi="Garamond"/>
        </w:rPr>
        <w:t>Alexander of Macedon’s earlier incursion</w:t>
      </w:r>
      <w:r>
        <w:rPr>
          <w:rFonts w:ascii="Garamond" w:hAnsi="Garamond"/>
        </w:rPr>
        <w:t xml:space="preserve"> into South Asia</w:t>
      </w:r>
      <w:r w:rsidRPr="009360B7">
        <w:rPr>
          <w:rFonts w:ascii="Garamond" w:hAnsi="Garamond"/>
        </w:rPr>
        <w:t xml:space="preserve"> in the 4</w:t>
      </w:r>
      <w:r w:rsidRPr="009360B7">
        <w:rPr>
          <w:rFonts w:ascii="Garamond" w:hAnsi="Garamond"/>
          <w:vertAlign w:val="superscript"/>
        </w:rPr>
        <w:t>th</w:t>
      </w:r>
      <w:r w:rsidRPr="009360B7">
        <w:rPr>
          <w:rFonts w:ascii="Garamond" w:hAnsi="Garamond"/>
        </w:rPr>
        <w:t xml:space="preserve"> century BCE had been a temporary connection between the Central and the South Asian PMNs that ceased after the Greek conquest states in South Asia had been expelled.  The connection was made permanent by Mahmud of </w:t>
      </w:r>
      <w:proofErr w:type="spellStart"/>
      <w:r w:rsidRPr="009360B7">
        <w:rPr>
          <w:rStyle w:val="spelle"/>
          <w:rFonts w:ascii="Garamond" w:hAnsi="Garamond"/>
        </w:rPr>
        <w:t>Ghazni</w:t>
      </w:r>
      <w:proofErr w:type="spellEnd"/>
      <w:r w:rsidRPr="009360B7">
        <w:rPr>
          <w:rFonts w:ascii="Garamond" w:hAnsi="Garamond"/>
        </w:rPr>
        <w:t>. After 1850 CE the East Asian PMN was engulfed by the Central PMN.</w:t>
      </w:r>
    </w:p>
  </w:footnote>
  <w:footnote w:id="9">
    <w:p w:rsidR="00B10D9A" w:rsidRPr="009360B7" w:rsidRDefault="00B10D9A" w:rsidP="005651E8">
      <w:pPr>
        <w:pStyle w:val="FootnoteText"/>
        <w:rPr>
          <w:rFonts w:ascii="Garamond" w:hAnsi="Garamond"/>
        </w:rPr>
      </w:pPr>
      <w:r w:rsidRPr="009360B7">
        <w:rPr>
          <w:rStyle w:val="FootnoteReference"/>
          <w:rFonts w:ascii="Garamond" w:hAnsi="Garamond"/>
        </w:rPr>
        <w:footnoteRef/>
      </w:r>
      <w:r w:rsidRPr="009360B7">
        <w:rPr>
          <w:rFonts w:ascii="Garamond" w:hAnsi="Garamond"/>
        </w:rPr>
        <w:t xml:space="preserve"> Europe was</w:t>
      </w:r>
      <w:r>
        <w:rPr>
          <w:rFonts w:ascii="Garamond" w:hAnsi="Garamond"/>
        </w:rPr>
        <w:t xml:space="preserve"> never a whole interstate system separate from the one in the Near East, though Wilkinson (1987) specifies a short-lived separate Aegean state system in the early Iron Age (1600 to 600 BCE).</w:t>
      </w:r>
    </w:p>
  </w:footnote>
  <w:footnote w:id="10">
    <w:p w:rsidR="00B10D9A" w:rsidRPr="00C83319" w:rsidRDefault="00B10D9A">
      <w:pPr>
        <w:pStyle w:val="FootnoteText"/>
      </w:pPr>
      <w:r>
        <w:rPr>
          <w:rStyle w:val="FootnoteReference"/>
        </w:rPr>
        <w:footnoteRef/>
      </w:r>
      <w:r>
        <w:t xml:space="preserve"> </w:t>
      </w:r>
      <w:r w:rsidRPr="00C83319">
        <w:rPr>
          <w:rFonts w:ascii="Garamond" w:hAnsi="Garamond" w:cs="Gisha"/>
        </w:rPr>
        <w:t>In a later version of this research we shall also use world regions as the unit of analysis.</w:t>
      </w:r>
    </w:p>
  </w:footnote>
  <w:footnote w:id="11">
    <w:p w:rsidR="00B10D9A" w:rsidRPr="00DD6438" w:rsidRDefault="00B10D9A" w:rsidP="00DE4C81">
      <w:pPr>
        <w:pStyle w:val="FootnoteText"/>
        <w:rPr>
          <w:rFonts w:ascii="Garamond" w:hAnsi="Garamond"/>
        </w:rPr>
      </w:pPr>
      <w:r w:rsidRPr="00DD6438">
        <w:rPr>
          <w:rStyle w:val="FootnoteReference"/>
          <w:rFonts w:ascii="Garamond" w:hAnsi="Garamond"/>
        </w:rPr>
        <w:footnoteRef/>
      </w:r>
      <w:r w:rsidRPr="00DD6438">
        <w:rPr>
          <w:rFonts w:ascii="Garamond" w:hAnsi="Garamond"/>
        </w:rPr>
        <w:t xml:space="preserve"> </w:t>
      </w:r>
      <w:proofErr w:type="spellStart"/>
      <w:r w:rsidRPr="00DD6438">
        <w:rPr>
          <w:rFonts w:ascii="Garamond" w:hAnsi="Garamond"/>
        </w:rPr>
        <w:t>Modelski’s</w:t>
      </w:r>
      <w:proofErr w:type="spellEnd"/>
      <w:r w:rsidRPr="00DD6438">
        <w:rPr>
          <w:rFonts w:ascii="Garamond" w:hAnsi="Garamond"/>
        </w:rPr>
        <w:t xml:space="preserve"> city population size estimates have been geocoded by Reba </w:t>
      </w:r>
      <w:r w:rsidRPr="00DD6438">
        <w:rPr>
          <w:rFonts w:ascii="Garamond" w:hAnsi="Garamond"/>
          <w:i/>
        </w:rPr>
        <w:t>et al</w:t>
      </w:r>
      <w:r w:rsidRPr="00DD6438">
        <w:rPr>
          <w:rFonts w:ascii="Garamond" w:hAnsi="Garamond"/>
        </w:rPr>
        <w:t xml:space="preserve"> 2016</w:t>
      </w:r>
      <w:r>
        <w:rPr>
          <w:rFonts w:ascii="Garamond" w:hAnsi="Garamond"/>
        </w:rPr>
        <w:t xml:space="preserve">. For a critique of Chandler’s and </w:t>
      </w:r>
      <w:proofErr w:type="spellStart"/>
      <w:r>
        <w:rPr>
          <w:rFonts w:ascii="Garamond" w:hAnsi="Garamond"/>
        </w:rPr>
        <w:t>Modelski’s</w:t>
      </w:r>
      <w:proofErr w:type="spellEnd"/>
      <w:r>
        <w:rPr>
          <w:rFonts w:ascii="Garamond" w:hAnsi="Garamond"/>
        </w:rPr>
        <w:t xml:space="preserve"> estimates see Smith (2016a).</w:t>
      </w:r>
    </w:p>
  </w:footnote>
  <w:footnote w:id="12">
    <w:p w:rsidR="00B10D9A" w:rsidRPr="00DE4C81" w:rsidRDefault="00B10D9A">
      <w:pPr>
        <w:pStyle w:val="FootnoteText"/>
        <w:rPr>
          <w:rFonts w:ascii="Garamond" w:hAnsi="Garamond"/>
        </w:rPr>
      </w:pPr>
      <w:r w:rsidRPr="00DE4C81">
        <w:rPr>
          <w:rStyle w:val="FootnoteReference"/>
          <w:rFonts w:ascii="Garamond" w:hAnsi="Garamond"/>
        </w:rPr>
        <w:footnoteRef/>
      </w:r>
      <w:r w:rsidRPr="00DE4C81">
        <w:rPr>
          <w:rFonts w:ascii="Garamond" w:hAnsi="Garamond"/>
        </w:rPr>
        <w:t xml:space="preserve"> Our </w:t>
      </w:r>
      <w:r>
        <w:rPr>
          <w:rFonts w:ascii="Garamond" w:hAnsi="Garamond"/>
        </w:rPr>
        <w:t xml:space="preserve">template for a </w:t>
      </w:r>
      <w:r w:rsidRPr="00DE4C81">
        <w:rPr>
          <w:rFonts w:ascii="Garamond" w:hAnsi="Garamond"/>
        </w:rPr>
        <w:t xml:space="preserve">comprehensive city size data compendium is at </w:t>
      </w:r>
      <w:hyperlink r:id="rId2" w:history="1">
        <w:r w:rsidRPr="00903803">
          <w:rPr>
            <w:rStyle w:val="Hyperlink"/>
            <w:rFonts w:ascii="Garamond" w:hAnsi="Garamond"/>
          </w:rPr>
          <w:t>http://wsarch.ucr.edu/archive/data/setdataset.htm</w:t>
        </w:r>
      </w:hyperlink>
    </w:p>
  </w:footnote>
  <w:footnote w:id="13">
    <w:p w:rsidR="00B10D9A" w:rsidRPr="00B6042F" w:rsidRDefault="00B10D9A" w:rsidP="00DA0FE7">
      <w:pPr>
        <w:jc w:val="both"/>
        <w:rPr>
          <w:rFonts w:ascii="Garamond" w:eastAsia="Times New Roman" w:hAnsi="Garamond" w:cs="Times New Roman"/>
          <w:sz w:val="20"/>
          <w:szCs w:val="20"/>
          <w:lang w:eastAsia="en-US"/>
        </w:rPr>
      </w:pPr>
      <w:r w:rsidRPr="00B6042F">
        <w:rPr>
          <w:rStyle w:val="FootnoteReference"/>
          <w:rFonts w:ascii="Garamond" w:hAnsi="Garamond"/>
          <w:sz w:val="20"/>
          <w:szCs w:val="20"/>
        </w:rPr>
        <w:footnoteRef/>
      </w:r>
      <w:r w:rsidRPr="00B6042F">
        <w:rPr>
          <w:rFonts w:ascii="Garamond" w:hAnsi="Garamond"/>
          <w:sz w:val="20"/>
          <w:szCs w:val="20"/>
        </w:rPr>
        <w:t xml:space="preserve"> </w:t>
      </w:r>
      <w:r w:rsidRPr="00B6042F">
        <w:rPr>
          <w:rFonts w:ascii="Garamond" w:eastAsia="Times New Roman" w:hAnsi="Garamond" w:cs="Times New Roman"/>
          <w:sz w:val="20"/>
          <w:szCs w:val="20"/>
          <w:lang w:eastAsia="en-US"/>
        </w:rPr>
        <w:t xml:space="preserve">The territorial sizes of polities are difficult to accurately estimate from archaeological evidence alone.  Michael E. Smith (2016b) reviews the efforts that have been made to do this (see also Smith and </w:t>
      </w:r>
      <w:proofErr w:type="spellStart"/>
      <w:r w:rsidRPr="00B6042F">
        <w:rPr>
          <w:rFonts w:ascii="Garamond" w:eastAsia="Times New Roman" w:hAnsi="Garamond" w:cs="Times New Roman"/>
          <w:sz w:val="20"/>
          <w:szCs w:val="20"/>
          <w:lang w:eastAsia="en-US"/>
        </w:rPr>
        <w:t>Montiel</w:t>
      </w:r>
      <w:proofErr w:type="spellEnd"/>
      <w:r w:rsidRPr="00B6042F">
        <w:rPr>
          <w:rFonts w:ascii="Garamond" w:eastAsia="Times New Roman" w:hAnsi="Garamond" w:cs="Times New Roman"/>
          <w:sz w:val="20"/>
          <w:szCs w:val="20"/>
          <w:lang w:eastAsia="en-US"/>
        </w:rPr>
        <w:t xml:space="preserve"> 2001).  It is usually not possible to obtain sufficient temporal resolution with archaeological data for the kind of study we are doing here. Carbon14 dates usually have a 200 year margin of error. When dendrochronology (tree ring) dating is </w:t>
      </w:r>
      <w:r>
        <w:rPr>
          <w:rFonts w:ascii="Garamond" w:eastAsia="Times New Roman" w:hAnsi="Garamond" w:cs="Times New Roman"/>
          <w:sz w:val="20"/>
          <w:szCs w:val="20"/>
          <w:lang w:eastAsia="en-US"/>
        </w:rPr>
        <w:t>available, as for</w:t>
      </w:r>
      <w:r w:rsidRPr="00B6042F">
        <w:rPr>
          <w:rFonts w:ascii="Garamond" w:eastAsia="Times New Roman" w:hAnsi="Garamond" w:cs="Times New Roman"/>
          <w:sz w:val="20"/>
          <w:szCs w:val="20"/>
          <w:lang w:eastAsia="en-US"/>
        </w:rPr>
        <w:t xml:space="preserve"> much of the American Southwest, yearly accuracy makes the study of settlement sizes and </w:t>
      </w:r>
      <w:r>
        <w:rPr>
          <w:rFonts w:ascii="Garamond" w:eastAsia="Times New Roman" w:hAnsi="Garamond" w:cs="Times New Roman"/>
          <w:sz w:val="20"/>
          <w:szCs w:val="20"/>
          <w:lang w:eastAsia="en-US"/>
        </w:rPr>
        <w:t>polity sizes temporally feasible for a study such as ours</w:t>
      </w:r>
      <w:r w:rsidRPr="00B6042F">
        <w:rPr>
          <w:rFonts w:ascii="Garamond" w:eastAsia="Times New Roman" w:hAnsi="Garamond" w:cs="Times New Roman"/>
          <w:sz w:val="20"/>
          <w:szCs w:val="20"/>
          <w:lang w:eastAsia="en-US"/>
        </w:rPr>
        <w:t xml:space="preserve">. </w:t>
      </w:r>
    </w:p>
    <w:p w:rsidR="00B10D9A" w:rsidRDefault="00B10D9A">
      <w:pPr>
        <w:pStyle w:val="FootnoteText"/>
      </w:pPr>
    </w:p>
  </w:footnote>
  <w:footnote w:id="14">
    <w:p w:rsidR="00B10D9A" w:rsidRPr="00C85EDC" w:rsidRDefault="00B10D9A" w:rsidP="00C85EDC">
      <w:pPr>
        <w:pStyle w:val="FootnoteText"/>
        <w:rPr>
          <w:rFonts w:ascii="Garamond" w:hAnsi="Garamond"/>
        </w:rPr>
      </w:pPr>
      <w:r w:rsidRPr="00C85EDC">
        <w:rPr>
          <w:rStyle w:val="FootnoteReference"/>
          <w:rFonts w:ascii="Garamond" w:hAnsi="Garamond"/>
        </w:rPr>
        <w:footnoteRef/>
      </w:r>
      <w:r w:rsidRPr="00C85EDC">
        <w:rPr>
          <w:rFonts w:ascii="Garamond" w:hAnsi="Garamond"/>
        </w:rPr>
        <w:t xml:space="preserve"> The comparative world-systems perspective developed by Chase-Dunn and Hall (1997) contends that semiperipheral capitalist city-states (specialized trading states in semiperipheral locations in the interstices between large tributary states and empires) were the main agents that encouraged commercialization and the production of commodities in the Bronze and Iron Ages. </w:t>
      </w:r>
    </w:p>
  </w:footnote>
  <w:footnote w:id="15">
    <w:p w:rsidR="00B10D9A" w:rsidRPr="00BB6F9D" w:rsidRDefault="00B10D9A" w:rsidP="007C4A5E">
      <w:pPr>
        <w:pStyle w:val="FootnoteText"/>
        <w:rPr>
          <w:rFonts w:ascii="Garamond" w:hAnsi="Garamond"/>
        </w:rPr>
      </w:pPr>
      <w:r>
        <w:rPr>
          <w:rStyle w:val="FootnoteReference"/>
        </w:rPr>
        <w:footnoteRef/>
      </w:r>
      <w:r>
        <w:t xml:space="preserve"> </w:t>
      </w:r>
      <w:r w:rsidRPr="00BB6F9D">
        <w:rPr>
          <w:rFonts w:ascii="Garamond" w:hAnsi="Garamond"/>
        </w:rPr>
        <w:t xml:space="preserve">Wilkinson codes the Central, Mesopotamian and </w:t>
      </w:r>
      <w:r>
        <w:rPr>
          <w:rFonts w:ascii="Garamond" w:hAnsi="Garamond"/>
        </w:rPr>
        <w:t>South Asia</w:t>
      </w:r>
      <w:r w:rsidRPr="00BB6F9D">
        <w:rPr>
          <w:rFonts w:ascii="Garamond" w:hAnsi="Garamond"/>
        </w:rPr>
        <w:t xml:space="preserve"> PMNs every 10 years. The East Asian and Egyptian systems are coded every 25 years. </w:t>
      </w:r>
    </w:p>
  </w:footnote>
  <w:footnote w:id="16">
    <w:p w:rsidR="00B10D9A" w:rsidRPr="006501BB" w:rsidRDefault="00B10D9A">
      <w:pPr>
        <w:pStyle w:val="FootnoteText"/>
        <w:rPr>
          <w:rFonts w:ascii="Garamond" w:hAnsi="Garamond"/>
        </w:rPr>
      </w:pPr>
      <w:r>
        <w:rPr>
          <w:rStyle w:val="FootnoteReference"/>
        </w:rPr>
        <w:footnoteRef/>
      </w:r>
      <w:r>
        <w:t xml:space="preserve"> </w:t>
      </w:r>
      <w:r w:rsidRPr="006501BB">
        <w:rPr>
          <w:rFonts w:ascii="Garamond" w:hAnsi="Garamond"/>
        </w:rPr>
        <w:t xml:space="preserve">The estimates for the tables and figures are contained in </w:t>
      </w:r>
      <w:hyperlink r:id="rId3" w:history="1">
        <w:r w:rsidRPr="006501BB">
          <w:rPr>
            <w:rStyle w:val="Hyperlink"/>
            <w:rFonts w:ascii="Garamond" w:hAnsi="Garamond" w:cs="Courier New"/>
            <w:noProof/>
          </w:rPr>
          <w:t>http://irows.ucr.edu/cd/appendices/powsize/</w:t>
        </w:r>
        <w:r w:rsidRPr="006501BB">
          <w:rPr>
            <w:rStyle w:val="Hyperlink"/>
            <w:rFonts w:ascii="Garamond" w:hAnsi="Garamond" w:cs="Courier New"/>
          </w:rPr>
          <w:t>powsize.xlsx</w:t>
        </w:r>
      </w:hyperlink>
    </w:p>
  </w:footnote>
  <w:footnote w:id="17">
    <w:p w:rsidR="00B10D9A" w:rsidRPr="0062094F" w:rsidRDefault="00B10D9A">
      <w:pPr>
        <w:pStyle w:val="FootnoteText"/>
        <w:rPr>
          <w:rFonts w:ascii="Garamond" w:hAnsi="Garamond"/>
        </w:rPr>
      </w:pPr>
      <w:r>
        <w:rPr>
          <w:rStyle w:val="FootnoteReference"/>
        </w:rPr>
        <w:footnoteRef/>
      </w:r>
      <w:r>
        <w:t xml:space="preserve"> </w:t>
      </w:r>
      <w:r>
        <w:rPr>
          <w:rFonts w:ascii="Garamond" w:hAnsi="Garamond"/>
        </w:rPr>
        <w:t>The bivariate Pearson’s r between largest city and largest state in Mesopotamia from 4500 BCE to 1500 BCE is .42. So the result in Table 1 is a function of the fact that cities had peaked and were declining in size during this time period (see also Figure 2 below).</w:t>
      </w:r>
    </w:p>
  </w:footnote>
  <w:footnote w:id="18">
    <w:p w:rsidR="00B10D9A" w:rsidRDefault="00B10D9A" w:rsidP="000A2E47">
      <w:pPr>
        <w:rPr>
          <w:rFonts w:ascii="Garamond" w:hAnsi="Garamond"/>
          <w:noProof/>
        </w:rPr>
      </w:pPr>
      <w:r w:rsidRPr="00F7545B">
        <w:rPr>
          <w:rStyle w:val="FootnoteReference"/>
          <w:rFonts w:ascii="Garamond" w:hAnsi="Garamond"/>
        </w:rPr>
        <w:footnoteRef/>
      </w:r>
      <w:r w:rsidRPr="00F7545B">
        <w:rPr>
          <w:rFonts w:ascii="Garamond" w:hAnsi="Garamond"/>
        </w:rPr>
        <w:t xml:space="preserve"> Our original version of this graph also showed a peak city size in 1300 CE because we were using </w:t>
      </w:r>
      <w:proofErr w:type="spellStart"/>
      <w:r w:rsidRPr="00F7545B">
        <w:rPr>
          <w:rFonts w:ascii="Garamond" w:hAnsi="Garamond"/>
        </w:rPr>
        <w:t>Modelski’s</w:t>
      </w:r>
      <w:proofErr w:type="spellEnd"/>
      <w:r w:rsidRPr="00F7545B">
        <w:rPr>
          <w:rFonts w:ascii="Garamond" w:hAnsi="Garamond"/>
        </w:rPr>
        <w:t xml:space="preserve"> </w:t>
      </w:r>
      <w:r>
        <w:rPr>
          <w:rFonts w:ascii="Garamond" w:hAnsi="Garamond"/>
        </w:rPr>
        <w:t xml:space="preserve">(2003: 63, 65) </w:t>
      </w:r>
      <w:r w:rsidRPr="00F7545B">
        <w:rPr>
          <w:rFonts w:ascii="Garamond" w:hAnsi="Garamond"/>
        </w:rPr>
        <w:t xml:space="preserve">estimate that Hangzhou had a population of one million five hundred thousand residents in that year. This caused us to scrutinize </w:t>
      </w:r>
      <w:proofErr w:type="spellStart"/>
      <w:r w:rsidRPr="00F7545B">
        <w:rPr>
          <w:rFonts w:ascii="Garamond" w:hAnsi="Garamond"/>
        </w:rPr>
        <w:t>Modelski’s</w:t>
      </w:r>
      <w:proofErr w:type="spellEnd"/>
      <w:r w:rsidRPr="00F7545B">
        <w:rPr>
          <w:rFonts w:ascii="Garamond" w:hAnsi="Garamond"/>
        </w:rPr>
        <w:t xml:space="preserve"> apparent claim more closely.</w:t>
      </w:r>
      <w:r>
        <w:rPr>
          <w:rFonts w:ascii="Garamond" w:hAnsi="Garamond"/>
        </w:rPr>
        <w:t xml:space="preserve"> We found that the high estimate for 1300 was a typographical error in Table 12 (</w:t>
      </w:r>
      <w:proofErr w:type="spellStart"/>
      <w:r>
        <w:rPr>
          <w:rFonts w:ascii="Garamond" w:hAnsi="Garamond"/>
        </w:rPr>
        <w:t>Modelski</w:t>
      </w:r>
      <w:proofErr w:type="spellEnd"/>
      <w:r>
        <w:rPr>
          <w:rFonts w:ascii="Garamond" w:hAnsi="Garamond"/>
        </w:rPr>
        <w:t xml:space="preserve"> 2003:63). On p. 65 he makes it clear that the estimate of 1.5 million is for 1250, before the Mongol conquest of Hangchou, not 1300. We decided to stick with Ian Morris’s estimate of 800,000 for 1300 CE. Our discussion of the difficulties of estimating the size of Hangzhou and the role that East Asian geopolitics played in its growth during the 13</w:t>
      </w:r>
      <w:r w:rsidRPr="000A2E47">
        <w:rPr>
          <w:rFonts w:ascii="Garamond" w:hAnsi="Garamond"/>
          <w:vertAlign w:val="superscript"/>
        </w:rPr>
        <w:t>th</w:t>
      </w:r>
      <w:r>
        <w:rPr>
          <w:rFonts w:ascii="Garamond" w:hAnsi="Garamond"/>
        </w:rPr>
        <w:t xml:space="preserve"> century is at </w:t>
      </w:r>
      <w:hyperlink r:id="rId4" w:history="1">
        <w:r w:rsidRPr="00C05D70">
          <w:rPr>
            <w:rStyle w:val="Hyperlink"/>
            <w:rFonts w:ascii="Garamond" w:hAnsi="Garamond"/>
          </w:rPr>
          <w:t>http://irows.ucr.edu/papers/irows111/irows111.htm</w:t>
        </w:r>
      </w:hyperlink>
    </w:p>
    <w:p w:rsidR="00B10D9A" w:rsidRPr="00F7545B" w:rsidRDefault="00B10D9A">
      <w:pPr>
        <w:pStyle w:val="FootnoteText"/>
        <w:rPr>
          <w:rFonts w:ascii="Garamond" w:hAnsi="Garamond"/>
        </w:rPr>
      </w:pPr>
    </w:p>
  </w:footnote>
  <w:footnote w:id="19">
    <w:p w:rsidR="00B10D9A" w:rsidRPr="0016256F" w:rsidRDefault="00B10D9A">
      <w:pPr>
        <w:pStyle w:val="FootnoteText"/>
        <w:rPr>
          <w:rFonts w:ascii="Garamond" w:hAnsi="Garamond"/>
        </w:rPr>
      </w:pPr>
      <w:r w:rsidRPr="0016256F">
        <w:rPr>
          <w:rStyle w:val="FootnoteReference"/>
          <w:rFonts w:ascii="Garamond" w:hAnsi="Garamond"/>
        </w:rPr>
        <w:footnoteRef/>
      </w:r>
      <w:r w:rsidRPr="0016256F">
        <w:rPr>
          <w:rFonts w:ascii="Garamond" w:hAnsi="Garamond"/>
        </w:rPr>
        <w:t xml:space="preserve"> </w:t>
      </w:r>
      <w:r w:rsidRPr="0016256F">
        <w:rPr>
          <w:rFonts w:ascii="Garamond" w:hAnsi="Garamond"/>
          <w:lang w:eastAsia="en-US"/>
        </w:rPr>
        <w:t xml:space="preserve">We do not include 1950 and 2000 CE in Figure </w:t>
      </w:r>
      <w:r w:rsidRPr="0016256F">
        <w:rPr>
          <w:rFonts w:ascii="Garamond" w:hAnsi="Garamond"/>
        </w:rPr>
        <w:t>6</w:t>
      </w:r>
      <w:r w:rsidRPr="0016256F">
        <w:rPr>
          <w:rFonts w:ascii="Garamond" w:hAnsi="Garamond"/>
          <w:lang w:eastAsia="en-US"/>
        </w:rPr>
        <w:t xml:space="preserve"> because the cities get so large that the scale makes it impossible to see earlier variations</w:t>
      </w:r>
      <w:r>
        <w:rPr>
          <w:rFonts w:ascii="Garamond" w:hAnsi="Garamond"/>
          <w:lang w:eastAsia="en-US"/>
        </w:rPr>
        <w:t>.</w:t>
      </w:r>
    </w:p>
  </w:footnote>
  <w:footnote w:id="20">
    <w:p w:rsidR="00B10D9A" w:rsidRPr="00AE5A18" w:rsidRDefault="00B10D9A" w:rsidP="00DE22CE">
      <w:pPr>
        <w:pStyle w:val="ListBullet"/>
        <w:numPr>
          <w:ilvl w:val="0"/>
          <w:numId w:val="0"/>
        </w:numPr>
        <w:ind w:left="360" w:hanging="360"/>
        <w:rPr>
          <w:rFonts w:ascii="Garamond" w:hAnsi="Garamond"/>
        </w:rPr>
      </w:pPr>
      <w:r w:rsidRPr="00AE5A18">
        <w:rPr>
          <w:rStyle w:val="FootnoteReference"/>
          <w:rFonts w:ascii="Garamond" w:hAnsi="Garamond"/>
        </w:rPr>
        <w:footnoteRef/>
      </w:r>
      <w:r w:rsidRPr="00AE5A18">
        <w:rPr>
          <w:rFonts w:ascii="Garamond" w:hAnsi="Garamond"/>
        </w:rPr>
        <w:t xml:space="preserve"> Level of statistical significance: </w:t>
      </w:r>
      <w:r w:rsidRPr="00AE5A18">
        <w:rPr>
          <w:rFonts w:ascii="Garamond" w:hAnsi="Garamond"/>
          <w:b/>
        </w:rPr>
        <w:t>*=</w:t>
      </w:r>
      <w:r w:rsidRPr="00AE5A18">
        <w:rPr>
          <w:rFonts w:ascii="Garamond" w:hAnsi="Garamond"/>
        </w:rPr>
        <w:t>P = 0.05;</w:t>
      </w:r>
      <w:r>
        <w:rPr>
          <w:rFonts w:ascii="Garamond" w:hAnsi="Garamond"/>
        </w:rPr>
        <w:t xml:space="preserve"> </w:t>
      </w:r>
      <w:r w:rsidRPr="00AE5A18">
        <w:rPr>
          <w:rFonts w:ascii="Garamond" w:hAnsi="Garamond"/>
          <w:b/>
        </w:rPr>
        <w:t>**=</w:t>
      </w:r>
      <w:r w:rsidRPr="00AE5A18">
        <w:rPr>
          <w:rFonts w:ascii="Garamond" w:hAnsi="Garamond"/>
        </w:rPr>
        <w:t>P = 0.01;</w:t>
      </w:r>
      <w:r>
        <w:rPr>
          <w:rFonts w:ascii="Garamond" w:hAnsi="Garamond"/>
        </w:rPr>
        <w:t xml:space="preserve"> </w:t>
      </w:r>
      <w:r w:rsidRPr="00AE5A18">
        <w:rPr>
          <w:rFonts w:ascii="Garamond" w:hAnsi="Garamond"/>
          <w:b/>
        </w:rPr>
        <w:t>***</w:t>
      </w:r>
      <w:r w:rsidRPr="00AE5A18">
        <w:rPr>
          <w:rFonts w:ascii="Garamond" w:hAnsi="Garamond"/>
        </w:rPr>
        <w:t>=P = 0.001;</w:t>
      </w:r>
      <w:r w:rsidRPr="00AE5A18">
        <w:rPr>
          <w:rFonts w:ascii="Garamond" w:hAnsi="Garamond"/>
          <w:b/>
        </w:rPr>
        <w:t xml:space="preserve"> ****=</w:t>
      </w:r>
      <w:r w:rsidRPr="00AE5A18">
        <w:rPr>
          <w:rFonts w:ascii="Garamond" w:hAnsi="Garamond"/>
        </w:rPr>
        <w:t>P = 0.000</w:t>
      </w:r>
    </w:p>
    <w:p w:rsidR="00B10D9A" w:rsidRDefault="00B10D9A" w:rsidP="00DE22CE">
      <w:pPr>
        <w:pStyle w:val="FootnoteText"/>
      </w:pPr>
    </w:p>
  </w:footnote>
  <w:footnote w:id="21">
    <w:p w:rsidR="00B10D9A" w:rsidRPr="00BC4CCD" w:rsidRDefault="00B10D9A" w:rsidP="00BC4CCD">
      <w:pPr>
        <w:rPr>
          <w:rFonts w:ascii="Garamond" w:hAnsi="Garamond" w:cs="Gisha"/>
          <w:sz w:val="20"/>
          <w:szCs w:val="20"/>
        </w:rPr>
      </w:pPr>
      <w:r w:rsidRPr="00BC4CCD">
        <w:rPr>
          <w:rStyle w:val="FootnoteReference"/>
          <w:rFonts w:ascii="Garamond" w:hAnsi="Garamond"/>
          <w:sz w:val="20"/>
          <w:szCs w:val="20"/>
        </w:rPr>
        <w:footnoteRef/>
      </w:r>
      <w:r w:rsidRPr="00BC4CCD">
        <w:rPr>
          <w:rFonts w:ascii="Garamond" w:hAnsi="Garamond"/>
          <w:sz w:val="20"/>
          <w:szCs w:val="20"/>
        </w:rPr>
        <w:t xml:space="preserve"> </w:t>
      </w:r>
      <w:r w:rsidRPr="00BC4CCD">
        <w:rPr>
          <w:rFonts w:ascii="Garamond" w:hAnsi="Garamond" w:cs="Gisha"/>
          <w:sz w:val="20"/>
          <w:szCs w:val="20"/>
        </w:rPr>
        <w:t xml:space="preserve">As estimates of polity and settlement sizes for the Bronze and Early Iron Ages improve we should be able to be more certain about what accounts for the lack of a positive cross-temporal correlations between city and state sizes in Mesopotamia and Egypt – poor data or a truly different relationship during this early time period. </w:t>
      </w:r>
    </w:p>
    <w:p w:rsidR="00B10D9A" w:rsidRDefault="00B10D9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68DD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45E7D32"/>
    <w:multiLevelType w:val="hybridMultilevel"/>
    <w:tmpl w:val="5D5E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93958"/>
    <w:multiLevelType w:val="hybridMultilevel"/>
    <w:tmpl w:val="41CC8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8F15B5"/>
    <w:multiLevelType w:val="hybridMultilevel"/>
    <w:tmpl w:val="F51C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07A"/>
    <w:rsid w:val="00002EE6"/>
    <w:rsid w:val="000049D8"/>
    <w:rsid w:val="00007280"/>
    <w:rsid w:val="00013870"/>
    <w:rsid w:val="000174B8"/>
    <w:rsid w:val="0002481A"/>
    <w:rsid w:val="000373A6"/>
    <w:rsid w:val="00037F39"/>
    <w:rsid w:val="000420B0"/>
    <w:rsid w:val="00047CFD"/>
    <w:rsid w:val="00056C45"/>
    <w:rsid w:val="00060609"/>
    <w:rsid w:val="00062D08"/>
    <w:rsid w:val="000745FC"/>
    <w:rsid w:val="00077589"/>
    <w:rsid w:val="00081482"/>
    <w:rsid w:val="00081EF1"/>
    <w:rsid w:val="00084731"/>
    <w:rsid w:val="0008689F"/>
    <w:rsid w:val="00091CCC"/>
    <w:rsid w:val="0009595A"/>
    <w:rsid w:val="000A2E47"/>
    <w:rsid w:val="000A3AB2"/>
    <w:rsid w:val="000A4F5A"/>
    <w:rsid w:val="000B3577"/>
    <w:rsid w:val="000C0D63"/>
    <w:rsid w:val="000C203C"/>
    <w:rsid w:val="000D14A5"/>
    <w:rsid w:val="000F05D7"/>
    <w:rsid w:val="000F4CC0"/>
    <w:rsid w:val="00101DDB"/>
    <w:rsid w:val="00102ABE"/>
    <w:rsid w:val="00103FFF"/>
    <w:rsid w:val="00107D1A"/>
    <w:rsid w:val="001224F1"/>
    <w:rsid w:val="00127F02"/>
    <w:rsid w:val="001311DD"/>
    <w:rsid w:val="0013738A"/>
    <w:rsid w:val="00143FB2"/>
    <w:rsid w:val="0016256F"/>
    <w:rsid w:val="00162E59"/>
    <w:rsid w:val="00163E43"/>
    <w:rsid w:val="001669C4"/>
    <w:rsid w:val="00167546"/>
    <w:rsid w:val="00175E48"/>
    <w:rsid w:val="0017797D"/>
    <w:rsid w:val="00180008"/>
    <w:rsid w:val="0018142E"/>
    <w:rsid w:val="00186FC5"/>
    <w:rsid w:val="00194C45"/>
    <w:rsid w:val="0019546C"/>
    <w:rsid w:val="00196DAF"/>
    <w:rsid w:val="001A2385"/>
    <w:rsid w:val="001A30A7"/>
    <w:rsid w:val="001B25B2"/>
    <w:rsid w:val="001C165D"/>
    <w:rsid w:val="001C1F57"/>
    <w:rsid w:val="001C7000"/>
    <w:rsid w:val="001C7733"/>
    <w:rsid w:val="001D5ECD"/>
    <w:rsid w:val="001E2C10"/>
    <w:rsid w:val="001F42BD"/>
    <w:rsid w:val="001F6CEE"/>
    <w:rsid w:val="001F6F2F"/>
    <w:rsid w:val="00202BB0"/>
    <w:rsid w:val="00206AD3"/>
    <w:rsid w:val="00207654"/>
    <w:rsid w:val="0021371A"/>
    <w:rsid w:val="00213949"/>
    <w:rsid w:val="002212ED"/>
    <w:rsid w:val="00224E8C"/>
    <w:rsid w:val="00226C01"/>
    <w:rsid w:val="00247421"/>
    <w:rsid w:val="00247C75"/>
    <w:rsid w:val="00250234"/>
    <w:rsid w:val="002576D2"/>
    <w:rsid w:val="00264385"/>
    <w:rsid w:val="002649F6"/>
    <w:rsid w:val="0026556E"/>
    <w:rsid w:val="00266446"/>
    <w:rsid w:val="0026646E"/>
    <w:rsid w:val="00271766"/>
    <w:rsid w:val="0028783F"/>
    <w:rsid w:val="00290BCA"/>
    <w:rsid w:val="002911A0"/>
    <w:rsid w:val="002A2ACE"/>
    <w:rsid w:val="002A3E22"/>
    <w:rsid w:val="002A46C9"/>
    <w:rsid w:val="002B149E"/>
    <w:rsid w:val="002C1547"/>
    <w:rsid w:val="002C2C02"/>
    <w:rsid w:val="002C2CAE"/>
    <w:rsid w:val="002C57A3"/>
    <w:rsid w:val="002D1D07"/>
    <w:rsid w:val="002D1D5A"/>
    <w:rsid w:val="002D3034"/>
    <w:rsid w:val="002D5C42"/>
    <w:rsid w:val="002E334D"/>
    <w:rsid w:val="002E4F2B"/>
    <w:rsid w:val="002E572B"/>
    <w:rsid w:val="002F1F31"/>
    <w:rsid w:val="002F2C1A"/>
    <w:rsid w:val="00300907"/>
    <w:rsid w:val="00300CCA"/>
    <w:rsid w:val="0030365C"/>
    <w:rsid w:val="00304423"/>
    <w:rsid w:val="00306E97"/>
    <w:rsid w:val="00311B5C"/>
    <w:rsid w:val="00313626"/>
    <w:rsid w:val="00314881"/>
    <w:rsid w:val="0031531F"/>
    <w:rsid w:val="00321C22"/>
    <w:rsid w:val="003239F9"/>
    <w:rsid w:val="00327872"/>
    <w:rsid w:val="00333DB9"/>
    <w:rsid w:val="00336ECC"/>
    <w:rsid w:val="00342EDE"/>
    <w:rsid w:val="00343789"/>
    <w:rsid w:val="0035133F"/>
    <w:rsid w:val="003548C8"/>
    <w:rsid w:val="003563EE"/>
    <w:rsid w:val="0036146F"/>
    <w:rsid w:val="00364DF8"/>
    <w:rsid w:val="00377B56"/>
    <w:rsid w:val="003814AF"/>
    <w:rsid w:val="00384018"/>
    <w:rsid w:val="0038580D"/>
    <w:rsid w:val="0038724F"/>
    <w:rsid w:val="003944E9"/>
    <w:rsid w:val="003952B9"/>
    <w:rsid w:val="003A60D4"/>
    <w:rsid w:val="003A7926"/>
    <w:rsid w:val="003B03C2"/>
    <w:rsid w:val="003B0E7B"/>
    <w:rsid w:val="003B3043"/>
    <w:rsid w:val="003B3A4B"/>
    <w:rsid w:val="003C537E"/>
    <w:rsid w:val="003D15C7"/>
    <w:rsid w:val="003D40AF"/>
    <w:rsid w:val="003D46A3"/>
    <w:rsid w:val="003E547F"/>
    <w:rsid w:val="003E6116"/>
    <w:rsid w:val="003E78D4"/>
    <w:rsid w:val="004043B3"/>
    <w:rsid w:val="00404FE8"/>
    <w:rsid w:val="00407465"/>
    <w:rsid w:val="00414F52"/>
    <w:rsid w:val="004263DA"/>
    <w:rsid w:val="00430535"/>
    <w:rsid w:val="00433B4B"/>
    <w:rsid w:val="00437FA3"/>
    <w:rsid w:val="00444CD4"/>
    <w:rsid w:val="0044518D"/>
    <w:rsid w:val="00450148"/>
    <w:rsid w:val="00450D3B"/>
    <w:rsid w:val="004573BE"/>
    <w:rsid w:val="00460162"/>
    <w:rsid w:val="00460315"/>
    <w:rsid w:val="0046555D"/>
    <w:rsid w:val="004662C2"/>
    <w:rsid w:val="004667B8"/>
    <w:rsid w:val="004729F8"/>
    <w:rsid w:val="004730AC"/>
    <w:rsid w:val="004734BE"/>
    <w:rsid w:val="0048067E"/>
    <w:rsid w:val="004874A3"/>
    <w:rsid w:val="004924A3"/>
    <w:rsid w:val="004A7616"/>
    <w:rsid w:val="004A786B"/>
    <w:rsid w:val="004B3B1E"/>
    <w:rsid w:val="004C0D6D"/>
    <w:rsid w:val="004C0FD0"/>
    <w:rsid w:val="004D0421"/>
    <w:rsid w:val="004D4D1F"/>
    <w:rsid w:val="004E409C"/>
    <w:rsid w:val="004E4C8B"/>
    <w:rsid w:val="004E5891"/>
    <w:rsid w:val="004F110F"/>
    <w:rsid w:val="00502CAE"/>
    <w:rsid w:val="00507F04"/>
    <w:rsid w:val="0051446C"/>
    <w:rsid w:val="0052756A"/>
    <w:rsid w:val="005278AD"/>
    <w:rsid w:val="00530F5B"/>
    <w:rsid w:val="00534860"/>
    <w:rsid w:val="00546074"/>
    <w:rsid w:val="00546E87"/>
    <w:rsid w:val="00551BC2"/>
    <w:rsid w:val="005525A7"/>
    <w:rsid w:val="0055402A"/>
    <w:rsid w:val="0055406B"/>
    <w:rsid w:val="00554E69"/>
    <w:rsid w:val="00555BC8"/>
    <w:rsid w:val="00557115"/>
    <w:rsid w:val="00560A02"/>
    <w:rsid w:val="0056429C"/>
    <w:rsid w:val="005649E1"/>
    <w:rsid w:val="005651E8"/>
    <w:rsid w:val="00565439"/>
    <w:rsid w:val="005759BC"/>
    <w:rsid w:val="00575DEF"/>
    <w:rsid w:val="00586C44"/>
    <w:rsid w:val="00590E7D"/>
    <w:rsid w:val="00597B6F"/>
    <w:rsid w:val="005A1AC8"/>
    <w:rsid w:val="005A44D0"/>
    <w:rsid w:val="005B0A67"/>
    <w:rsid w:val="005B1FCC"/>
    <w:rsid w:val="005B6315"/>
    <w:rsid w:val="005C3BC3"/>
    <w:rsid w:val="005C4F08"/>
    <w:rsid w:val="005D196F"/>
    <w:rsid w:val="005D760C"/>
    <w:rsid w:val="005E1517"/>
    <w:rsid w:val="005E5957"/>
    <w:rsid w:val="005F1BBA"/>
    <w:rsid w:val="005F21F1"/>
    <w:rsid w:val="00603BAB"/>
    <w:rsid w:val="00604510"/>
    <w:rsid w:val="0060744A"/>
    <w:rsid w:val="00610328"/>
    <w:rsid w:val="0061523B"/>
    <w:rsid w:val="0062094F"/>
    <w:rsid w:val="0062200E"/>
    <w:rsid w:val="006277F7"/>
    <w:rsid w:val="00632A01"/>
    <w:rsid w:val="00635B6C"/>
    <w:rsid w:val="00646256"/>
    <w:rsid w:val="006501BB"/>
    <w:rsid w:val="00650ACF"/>
    <w:rsid w:val="00651665"/>
    <w:rsid w:val="00652F9B"/>
    <w:rsid w:val="006673D1"/>
    <w:rsid w:val="00667479"/>
    <w:rsid w:val="00680483"/>
    <w:rsid w:val="006925AC"/>
    <w:rsid w:val="00696473"/>
    <w:rsid w:val="006969A5"/>
    <w:rsid w:val="006A3030"/>
    <w:rsid w:val="006A361E"/>
    <w:rsid w:val="006A5A56"/>
    <w:rsid w:val="006A7255"/>
    <w:rsid w:val="006C2886"/>
    <w:rsid w:val="006C328F"/>
    <w:rsid w:val="006C7602"/>
    <w:rsid w:val="006C77EC"/>
    <w:rsid w:val="006D7124"/>
    <w:rsid w:val="006E1B10"/>
    <w:rsid w:val="006F0BDD"/>
    <w:rsid w:val="00711162"/>
    <w:rsid w:val="00711C19"/>
    <w:rsid w:val="00720622"/>
    <w:rsid w:val="00724623"/>
    <w:rsid w:val="007339EF"/>
    <w:rsid w:val="007427B2"/>
    <w:rsid w:val="00742B01"/>
    <w:rsid w:val="00742D07"/>
    <w:rsid w:val="00753561"/>
    <w:rsid w:val="007550BA"/>
    <w:rsid w:val="00760A0B"/>
    <w:rsid w:val="00764528"/>
    <w:rsid w:val="007840A6"/>
    <w:rsid w:val="00784171"/>
    <w:rsid w:val="00785529"/>
    <w:rsid w:val="007856F7"/>
    <w:rsid w:val="007877F7"/>
    <w:rsid w:val="00792245"/>
    <w:rsid w:val="00795701"/>
    <w:rsid w:val="00796369"/>
    <w:rsid w:val="00796CF3"/>
    <w:rsid w:val="007A0504"/>
    <w:rsid w:val="007A2657"/>
    <w:rsid w:val="007A79E9"/>
    <w:rsid w:val="007B2B65"/>
    <w:rsid w:val="007C0ED7"/>
    <w:rsid w:val="007C4A5E"/>
    <w:rsid w:val="007C7F9B"/>
    <w:rsid w:val="007D0ED3"/>
    <w:rsid w:val="007D264D"/>
    <w:rsid w:val="007D4787"/>
    <w:rsid w:val="007D69E2"/>
    <w:rsid w:val="007D7442"/>
    <w:rsid w:val="007E47FA"/>
    <w:rsid w:val="00800BF1"/>
    <w:rsid w:val="00801DF6"/>
    <w:rsid w:val="00802439"/>
    <w:rsid w:val="00807EEC"/>
    <w:rsid w:val="008116D6"/>
    <w:rsid w:val="00825099"/>
    <w:rsid w:val="00826380"/>
    <w:rsid w:val="008274D6"/>
    <w:rsid w:val="008343C8"/>
    <w:rsid w:val="0086024A"/>
    <w:rsid w:val="0086397B"/>
    <w:rsid w:val="00866DD4"/>
    <w:rsid w:val="0087042B"/>
    <w:rsid w:val="00872F1A"/>
    <w:rsid w:val="008842D2"/>
    <w:rsid w:val="008A2890"/>
    <w:rsid w:val="008B4612"/>
    <w:rsid w:val="008B5FD6"/>
    <w:rsid w:val="008C115F"/>
    <w:rsid w:val="008D3B9E"/>
    <w:rsid w:val="008D6994"/>
    <w:rsid w:val="008D7D49"/>
    <w:rsid w:val="008E25AD"/>
    <w:rsid w:val="008E35BF"/>
    <w:rsid w:val="008E41E5"/>
    <w:rsid w:val="008F76B8"/>
    <w:rsid w:val="00903803"/>
    <w:rsid w:val="0091098B"/>
    <w:rsid w:val="00915F86"/>
    <w:rsid w:val="00922A4B"/>
    <w:rsid w:val="0092689A"/>
    <w:rsid w:val="009360B7"/>
    <w:rsid w:val="009433A1"/>
    <w:rsid w:val="00945178"/>
    <w:rsid w:val="00946691"/>
    <w:rsid w:val="00950371"/>
    <w:rsid w:val="00953DAC"/>
    <w:rsid w:val="00956275"/>
    <w:rsid w:val="00961408"/>
    <w:rsid w:val="009624E0"/>
    <w:rsid w:val="0096527B"/>
    <w:rsid w:val="00970E37"/>
    <w:rsid w:val="00971E53"/>
    <w:rsid w:val="00974DB7"/>
    <w:rsid w:val="00984CC9"/>
    <w:rsid w:val="0098654E"/>
    <w:rsid w:val="00990A61"/>
    <w:rsid w:val="009953A9"/>
    <w:rsid w:val="009A336C"/>
    <w:rsid w:val="009A474D"/>
    <w:rsid w:val="009B1E6E"/>
    <w:rsid w:val="009B478A"/>
    <w:rsid w:val="009C214E"/>
    <w:rsid w:val="009C4B15"/>
    <w:rsid w:val="009C501A"/>
    <w:rsid w:val="009E28B3"/>
    <w:rsid w:val="009F7C5D"/>
    <w:rsid w:val="00A25C05"/>
    <w:rsid w:val="00A3158A"/>
    <w:rsid w:val="00A43EB2"/>
    <w:rsid w:val="00A50D86"/>
    <w:rsid w:val="00A53490"/>
    <w:rsid w:val="00A56FAD"/>
    <w:rsid w:val="00A67C9F"/>
    <w:rsid w:val="00A72EAD"/>
    <w:rsid w:val="00A75736"/>
    <w:rsid w:val="00A76F5D"/>
    <w:rsid w:val="00A81BEB"/>
    <w:rsid w:val="00A92B77"/>
    <w:rsid w:val="00A92F23"/>
    <w:rsid w:val="00AB24AA"/>
    <w:rsid w:val="00AB29E7"/>
    <w:rsid w:val="00AB3809"/>
    <w:rsid w:val="00AC3C0D"/>
    <w:rsid w:val="00AC7B50"/>
    <w:rsid w:val="00AD0D89"/>
    <w:rsid w:val="00AD4FCE"/>
    <w:rsid w:val="00AD7BE8"/>
    <w:rsid w:val="00AE4FC9"/>
    <w:rsid w:val="00AE5A18"/>
    <w:rsid w:val="00AF0A63"/>
    <w:rsid w:val="00AF1435"/>
    <w:rsid w:val="00AF30BB"/>
    <w:rsid w:val="00B0107A"/>
    <w:rsid w:val="00B048F5"/>
    <w:rsid w:val="00B055AA"/>
    <w:rsid w:val="00B10D9A"/>
    <w:rsid w:val="00B25791"/>
    <w:rsid w:val="00B2779E"/>
    <w:rsid w:val="00B31FF1"/>
    <w:rsid w:val="00B4185E"/>
    <w:rsid w:val="00B4348D"/>
    <w:rsid w:val="00B56B5D"/>
    <w:rsid w:val="00B6042F"/>
    <w:rsid w:val="00B62AFC"/>
    <w:rsid w:val="00B749E2"/>
    <w:rsid w:val="00B75D35"/>
    <w:rsid w:val="00B76B8C"/>
    <w:rsid w:val="00B77466"/>
    <w:rsid w:val="00B817C1"/>
    <w:rsid w:val="00B829AB"/>
    <w:rsid w:val="00B83814"/>
    <w:rsid w:val="00B9761B"/>
    <w:rsid w:val="00BB2FD5"/>
    <w:rsid w:val="00BB6F9D"/>
    <w:rsid w:val="00BC025B"/>
    <w:rsid w:val="00BC139B"/>
    <w:rsid w:val="00BC1874"/>
    <w:rsid w:val="00BC3D27"/>
    <w:rsid w:val="00BC4CCD"/>
    <w:rsid w:val="00BD0C66"/>
    <w:rsid w:val="00BD10F1"/>
    <w:rsid w:val="00BD2551"/>
    <w:rsid w:val="00BD2C32"/>
    <w:rsid w:val="00BE03E7"/>
    <w:rsid w:val="00BE793B"/>
    <w:rsid w:val="00BF2938"/>
    <w:rsid w:val="00BF6CE9"/>
    <w:rsid w:val="00C002FC"/>
    <w:rsid w:val="00C045CB"/>
    <w:rsid w:val="00C05D70"/>
    <w:rsid w:val="00C066E6"/>
    <w:rsid w:val="00C11567"/>
    <w:rsid w:val="00C1198D"/>
    <w:rsid w:val="00C126E7"/>
    <w:rsid w:val="00C163C2"/>
    <w:rsid w:val="00C200FA"/>
    <w:rsid w:val="00C24C20"/>
    <w:rsid w:val="00C26601"/>
    <w:rsid w:val="00C3409A"/>
    <w:rsid w:val="00C42110"/>
    <w:rsid w:val="00C42D27"/>
    <w:rsid w:val="00C45698"/>
    <w:rsid w:val="00C55103"/>
    <w:rsid w:val="00C560FA"/>
    <w:rsid w:val="00C56C3C"/>
    <w:rsid w:val="00C60464"/>
    <w:rsid w:val="00C61189"/>
    <w:rsid w:val="00C62DE6"/>
    <w:rsid w:val="00C67F8C"/>
    <w:rsid w:val="00C762B9"/>
    <w:rsid w:val="00C76D96"/>
    <w:rsid w:val="00C779D3"/>
    <w:rsid w:val="00C827C1"/>
    <w:rsid w:val="00C82CAD"/>
    <w:rsid w:val="00C83319"/>
    <w:rsid w:val="00C85EDC"/>
    <w:rsid w:val="00C94C95"/>
    <w:rsid w:val="00C94DEF"/>
    <w:rsid w:val="00C965A5"/>
    <w:rsid w:val="00CA79A4"/>
    <w:rsid w:val="00CB1B83"/>
    <w:rsid w:val="00CB46C6"/>
    <w:rsid w:val="00CC245A"/>
    <w:rsid w:val="00CC3A7B"/>
    <w:rsid w:val="00CD2A10"/>
    <w:rsid w:val="00CD4A99"/>
    <w:rsid w:val="00CF4EBE"/>
    <w:rsid w:val="00D04729"/>
    <w:rsid w:val="00D06485"/>
    <w:rsid w:val="00D21B61"/>
    <w:rsid w:val="00D362BB"/>
    <w:rsid w:val="00D373E1"/>
    <w:rsid w:val="00D44BDD"/>
    <w:rsid w:val="00D45995"/>
    <w:rsid w:val="00D5563E"/>
    <w:rsid w:val="00D56E42"/>
    <w:rsid w:val="00D571C6"/>
    <w:rsid w:val="00D605D9"/>
    <w:rsid w:val="00D63D40"/>
    <w:rsid w:val="00D76417"/>
    <w:rsid w:val="00D82C97"/>
    <w:rsid w:val="00D83A3F"/>
    <w:rsid w:val="00D900E8"/>
    <w:rsid w:val="00D931BC"/>
    <w:rsid w:val="00DA0FE7"/>
    <w:rsid w:val="00DB387D"/>
    <w:rsid w:val="00DB6AA2"/>
    <w:rsid w:val="00DC1291"/>
    <w:rsid w:val="00DC7976"/>
    <w:rsid w:val="00DD09A3"/>
    <w:rsid w:val="00DD1AFD"/>
    <w:rsid w:val="00DD6438"/>
    <w:rsid w:val="00DD6AEB"/>
    <w:rsid w:val="00DE09C5"/>
    <w:rsid w:val="00DE22CE"/>
    <w:rsid w:val="00DE4C81"/>
    <w:rsid w:val="00DF061A"/>
    <w:rsid w:val="00DF28F1"/>
    <w:rsid w:val="00E0728C"/>
    <w:rsid w:val="00E13D53"/>
    <w:rsid w:val="00E14391"/>
    <w:rsid w:val="00E277F1"/>
    <w:rsid w:val="00E27A50"/>
    <w:rsid w:val="00E31164"/>
    <w:rsid w:val="00E35AED"/>
    <w:rsid w:val="00E37A7E"/>
    <w:rsid w:val="00E5019B"/>
    <w:rsid w:val="00E50C20"/>
    <w:rsid w:val="00E5711E"/>
    <w:rsid w:val="00E57825"/>
    <w:rsid w:val="00E57BA0"/>
    <w:rsid w:val="00E57DED"/>
    <w:rsid w:val="00E62284"/>
    <w:rsid w:val="00E64AD4"/>
    <w:rsid w:val="00E73B6A"/>
    <w:rsid w:val="00E82470"/>
    <w:rsid w:val="00E8320D"/>
    <w:rsid w:val="00E93D6E"/>
    <w:rsid w:val="00EA23D4"/>
    <w:rsid w:val="00EA5838"/>
    <w:rsid w:val="00EB064A"/>
    <w:rsid w:val="00EB1A62"/>
    <w:rsid w:val="00ED3550"/>
    <w:rsid w:val="00ED494E"/>
    <w:rsid w:val="00EE1331"/>
    <w:rsid w:val="00EE2498"/>
    <w:rsid w:val="00EF6582"/>
    <w:rsid w:val="00F019DD"/>
    <w:rsid w:val="00F063F2"/>
    <w:rsid w:val="00F10B5E"/>
    <w:rsid w:val="00F1565D"/>
    <w:rsid w:val="00F24E16"/>
    <w:rsid w:val="00F254DD"/>
    <w:rsid w:val="00F32C80"/>
    <w:rsid w:val="00F44198"/>
    <w:rsid w:val="00F45669"/>
    <w:rsid w:val="00F45BFE"/>
    <w:rsid w:val="00F524AF"/>
    <w:rsid w:val="00F6340D"/>
    <w:rsid w:val="00F66A38"/>
    <w:rsid w:val="00F735E2"/>
    <w:rsid w:val="00F7545B"/>
    <w:rsid w:val="00F75C62"/>
    <w:rsid w:val="00F84106"/>
    <w:rsid w:val="00F90800"/>
    <w:rsid w:val="00F92CA0"/>
    <w:rsid w:val="00F939D9"/>
    <w:rsid w:val="00FA79DA"/>
    <w:rsid w:val="00FB2FA6"/>
    <w:rsid w:val="00FB587B"/>
    <w:rsid w:val="00FD26C1"/>
    <w:rsid w:val="00FD548B"/>
    <w:rsid w:val="00FE5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0" w:qFormat="1"/>
    <w:lsdException w:name="endnote reference" w:uiPriority="0"/>
    <w:lsdException w:name="endnote text" w:uiPriority="0"/>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MS Mincho"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hAnsi="Times New Roman" w:cs="Times New Roman"/>
    </w:rPr>
  </w:style>
  <w:style w:type="character" w:styleId="Hyperlink">
    <w:name w:val="Hyperlink"/>
    <w:unhideWhenUsed/>
    <w:rsid w:val="00E73B6A"/>
    <w:rPr>
      <w:color w:val="0000FF"/>
      <w:u w:val="single"/>
    </w:rPr>
  </w:style>
  <w:style w:type="paragraph" w:styleId="NormalWeb">
    <w:name w:val="Normal (Web)"/>
    <w:basedOn w:val="Normal"/>
    <w:uiPriority w:val="99"/>
    <w:unhideWhenUsed/>
    <w:rsid w:val="00E73B6A"/>
    <w:rPr>
      <w:rFonts w:ascii="Times New Roman" w:eastAsia="Calibri" w:hAnsi="Times New Roman" w:cs="Times New Roman"/>
      <w:sz w:val="24"/>
      <w:szCs w:val="24"/>
      <w:lang w:eastAsia="en-US"/>
    </w:rPr>
  </w:style>
  <w:style w:type="paragraph" w:styleId="BalloonText">
    <w:name w:val="Balloon Text"/>
    <w:basedOn w:val="Normal"/>
    <w:link w:val="BalloonTextChar"/>
    <w:uiPriority w:val="99"/>
    <w:semiHidden/>
    <w:unhideWhenUsed/>
    <w:rsid w:val="00E73B6A"/>
    <w:rPr>
      <w:rFonts w:ascii="Tahoma" w:hAnsi="Tahoma" w:cs="Tahoma"/>
      <w:sz w:val="16"/>
      <w:szCs w:val="16"/>
    </w:rPr>
  </w:style>
  <w:style w:type="character" w:customStyle="1" w:styleId="BalloonTextChar">
    <w:name w:val="Balloon Text Char"/>
    <w:basedOn w:val="DefaultParagraphFont"/>
    <w:link w:val="BalloonText"/>
    <w:uiPriority w:val="99"/>
    <w:semiHidden/>
    <w:rsid w:val="00E73B6A"/>
    <w:rPr>
      <w:rFonts w:ascii="Tahoma" w:eastAsia="MS Mincho" w:hAnsi="Tahoma" w:cs="Tahoma"/>
      <w:sz w:val="16"/>
      <w:szCs w:val="16"/>
      <w:lang w:eastAsia="ja-JP"/>
    </w:rPr>
  </w:style>
  <w:style w:type="character" w:styleId="HTMLTypewriter">
    <w:name w:val="HTML Typewriter"/>
    <w:basedOn w:val="DefaultParagraphFont"/>
    <w:uiPriority w:val="99"/>
    <w:semiHidden/>
    <w:unhideWhenUsed/>
    <w:rsid w:val="00271766"/>
    <w:rPr>
      <w:rFonts w:ascii="Courier New" w:eastAsia="Times New Roman" w:hAnsi="Courier New" w:cs="Courier New"/>
      <w:sz w:val="20"/>
      <w:szCs w:val="20"/>
    </w:rPr>
  </w:style>
  <w:style w:type="character" w:customStyle="1" w:styleId="spelle">
    <w:name w:val="spelle"/>
    <w:basedOn w:val="DefaultParagraphFont"/>
    <w:rsid w:val="00271766"/>
  </w:style>
  <w:style w:type="paragraph" w:styleId="ListParagraph">
    <w:name w:val="List Paragraph"/>
    <w:basedOn w:val="Normal"/>
    <w:uiPriority w:val="34"/>
    <w:qFormat/>
    <w:rsid w:val="006925AC"/>
    <w:pPr>
      <w:ind w:left="720"/>
      <w:contextualSpacing/>
    </w:pPr>
  </w:style>
  <w:style w:type="character" w:customStyle="1" w:styleId="apple-converted-space">
    <w:name w:val="apple-converted-space"/>
    <w:basedOn w:val="DefaultParagraphFont"/>
    <w:rsid w:val="00984CC9"/>
  </w:style>
  <w:style w:type="paragraph" w:styleId="EndnoteText">
    <w:name w:val="endnote text"/>
    <w:basedOn w:val="Normal"/>
    <w:link w:val="EndnoteTextChar"/>
    <w:semiHidden/>
    <w:unhideWhenUsed/>
    <w:rsid w:val="00866DD4"/>
    <w:rPr>
      <w:sz w:val="20"/>
      <w:szCs w:val="20"/>
    </w:rPr>
  </w:style>
  <w:style w:type="character" w:customStyle="1" w:styleId="EndnoteTextChar">
    <w:name w:val="Endnote Text Char"/>
    <w:basedOn w:val="DefaultParagraphFont"/>
    <w:link w:val="EndnoteText"/>
    <w:uiPriority w:val="99"/>
    <w:semiHidden/>
    <w:rsid w:val="00866DD4"/>
    <w:rPr>
      <w:rFonts w:ascii="Calibri" w:eastAsia="MS Mincho" w:hAnsi="Calibri" w:cs="Calibri"/>
      <w:sz w:val="20"/>
      <w:szCs w:val="20"/>
      <w:lang w:eastAsia="ja-JP"/>
    </w:rPr>
  </w:style>
  <w:style w:type="character" w:styleId="EndnoteReference">
    <w:name w:val="endnote reference"/>
    <w:basedOn w:val="DefaultParagraphFont"/>
    <w:semiHidden/>
    <w:unhideWhenUsed/>
    <w:rsid w:val="00866DD4"/>
    <w:rPr>
      <w:vertAlign w:val="superscript"/>
    </w:rPr>
  </w:style>
  <w:style w:type="paragraph" w:styleId="FootnoteText">
    <w:name w:val="footnote text"/>
    <w:basedOn w:val="Normal"/>
    <w:link w:val="FootnoteTextChar"/>
    <w:uiPriority w:val="99"/>
    <w:semiHidden/>
    <w:unhideWhenUsed/>
    <w:rsid w:val="00866DD4"/>
    <w:rPr>
      <w:sz w:val="20"/>
      <w:szCs w:val="20"/>
    </w:rPr>
  </w:style>
  <w:style w:type="character" w:customStyle="1" w:styleId="FootnoteTextChar">
    <w:name w:val="Footnote Text Char"/>
    <w:basedOn w:val="DefaultParagraphFont"/>
    <w:link w:val="FootnoteText"/>
    <w:uiPriority w:val="99"/>
    <w:semiHidden/>
    <w:rsid w:val="00866DD4"/>
    <w:rPr>
      <w:rFonts w:ascii="Calibri" w:eastAsia="MS Mincho" w:hAnsi="Calibri" w:cs="Calibri"/>
      <w:sz w:val="20"/>
      <w:szCs w:val="20"/>
      <w:lang w:eastAsia="ja-JP"/>
    </w:rPr>
  </w:style>
  <w:style w:type="character" w:styleId="FootnoteReference">
    <w:name w:val="footnote reference"/>
    <w:basedOn w:val="DefaultParagraphFont"/>
    <w:uiPriority w:val="99"/>
    <w:semiHidden/>
    <w:unhideWhenUsed/>
    <w:rsid w:val="00866DD4"/>
    <w:rPr>
      <w:vertAlign w:val="superscript"/>
    </w:rPr>
  </w:style>
  <w:style w:type="paragraph" w:styleId="Title">
    <w:name w:val="Title"/>
    <w:basedOn w:val="Normal"/>
    <w:next w:val="Normal"/>
    <w:link w:val="TitleChar"/>
    <w:uiPriority w:val="10"/>
    <w:qFormat/>
    <w:rsid w:val="00635B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5B6C"/>
    <w:rPr>
      <w:rFonts w:asciiTheme="majorHAnsi" w:eastAsiaTheme="majorEastAsia" w:hAnsiTheme="majorHAnsi" w:cstheme="majorBidi"/>
      <w:color w:val="17365D" w:themeColor="text2" w:themeShade="BF"/>
      <w:spacing w:val="5"/>
      <w:kern w:val="28"/>
      <w:sz w:val="52"/>
      <w:szCs w:val="52"/>
      <w:lang w:eastAsia="ja-JP"/>
    </w:rPr>
  </w:style>
  <w:style w:type="paragraph" w:styleId="Caption">
    <w:name w:val="caption"/>
    <w:basedOn w:val="Normal"/>
    <w:next w:val="Normal"/>
    <w:qFormat/>
    <w:rsid w:val="007D4787"/>
    <w:pPr>
      <w:spacing w:before="120" w:after="120"/>
    </w:pPr>
    <w:rPr>
      <w:rFonts w:ascii="Times New Roman" w:eastAsia="Times New Roman" w:hAnsi="Times New Roman" w:cs="Times New Roman"/>
      <w:b/>
      <w:bCs/>
      <w:sz w:val="20"/>
      <w:szCs w:val="20"/>
      <w:lang w:eastAsia="en-US"/>
    </w:rPr>
  </w:style>
  <w:style w:type="character" w:styleId="Strong">
    <w:name w:val="Strong"/>
    <w:basedOn w:val="DefaultParagraphFont"/>
    <w:uiPriority w:val="22"/>
    <w:qFormat/>
    <w:rsid w:val="008E41E5"/>
    <w:rPr>
      <w:b/>
      <w:bCs/>
    </w:rPr>
  </w:style>
  <w:style w:type="character" w:styleId="Emphasis">
    <w:name w:val="Emphasis"/>
    <w:basedOn w:val="DefaultParagraphFont"/>
    <w:uiPriority w:val="20"/>
    <w:qFormat/>
    <w:rsid w:val="00E14391"/>
    <w:rPr>
      <w:i/>
      <w:iCs/>
    </w:rPr>
  </w:style>
  <w:style w:type="paragraph" w:styleId="BodyText">
    <w:name w:val="Body Text"/>
    <w:basedOn w:val="Normal"/>
    <w:link w:val="BodyTextChar"/>
    <w:semiHidden/>
    <w:rsid w:val="008B5FD6"/>
    <w:pPr>
      <w:widowControl w:val="0"/>
      <w:tabs>
        <w:tab w:val="left" w:pos="-720"/>
      </w:tabs>
      <w:suppressAutoHyphens/>
      <w:autoSpaceDE w:val="0"/>
      <w:autoSpaceDN w:val="0"/>
      <w:adjustRightInd w:val="0"/>
      <w:spacing w:line="240" w:lineRule="atLeast"/>
      <w:jc w:val="both"/>
    </w:pPr>
    <w:rPr>
      <w:rFonts w:ascii="Courier" w:eastAsia="Times New Roman" w:hAnsi="Courier" w:cs="Times New Roman"/>
      <w:spacing w:val="-3"/>
      <w:sz w:val="24"/>
      <w:szCs w:val="24"/>
      <w:lang w:eastAsia="en-US"/>
    </w:rPr>
  </w:style>
  <w:style w:type="character" w:customStyle="1" w:styleId="BodyTextChar">
    <w:name w:val="Body Text Char"/>
    <w:basedOn w:val="DefaultParagraphFont"/>
    <w:link w:val="BodyText"/>
    <w:semiHidden/>
    <w:rsid w:val="008B5FD6"/>
    <w:rPr>
      <w:rFonts w:ascii="Courier" w:eastAsia="Times New Roman" w:hAnsi="Courier" w:cs="Times New Roman"/>
      <w:spacing w:val="-3"/>
      <w:sz w:val="24"/>
      <w:szCs w:val="24"/>
    </w:rPr>
  </w:style>
  <w:style w:type="table" w:styleId="TableGrid">
    <w:name w:val="Table Grid"/>
    <w:basedOn w:val="TableNormal"/>
    <w:uiPriority w:val="59"/>
    <w:rsid w:val="00C3409A"/>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149E"/>
    <w:rPr>
      <w:color w:val="800080" w:themeColor="followedHyperlink"/>
      <w:u w:val="single"/>
    </w:rPr>
  </w:style>
  <w:style w:type="paragraph" w:styleId="ListBullet">
    <w:name w:val="List Bullet"/>
    <w:basedOn w:val="Normal"/>
    <w:uiPriority w:val="99"/>
    <w:unhideWhenUsed/>
    <w:rsid w:val="00247421"/>
    <w:pPr>
      <w:numPr>
        <w:numId w:val="4"/>
      </w:numPr>
      <w:spacing w:after="200" w:line="276" w:lineRule="auto"/>
      <w:contextualSpacing/>
    </w:pPr>
    <w:rPr>
      <w:rFonts w:asciiTheme="minorHAnsi" w:eastAsiaTheme="minorHAnsi" w:hAnsiTheme="minorHAnsi" w:cstheme="minorBidi"/>
      <w:lang w:eastAsia="en-US"/>
    </w:rPr>
  </w:style>
  <w:style w:type="paragraph" w:customStyle="1" w:styleId="xmsonormal">
    <w:name w:val="x_msonormal"/>
    <w:basedOn w:val="Normal"/>
    <w:rsid w:val="00E62284"/>
    <w:pPr>
      <w:spacing w:before="100" w:beforeAutospacing="1" w:after="100" w:afterAutospacing="1"/>
    </w:pPr>
    <w:rPr>
      <w:rFonts w:ascii="Times New Roman" w:eastAsia="Times New Roman" w:hAnsi="Times New Roman" w:cs="Times New Roman"/>
      <w:sz w:val="24"/>
      <w:szCs w:val="24"/>
      <w:lang w:eastAsia="en-US"/>
    </w:rPr>
  </w:style>
  <w:style w:type="table" w:styleId="LightList-Accent2">
    <w:name w:val="Light List Accent 2"/>
    <w:basedOn w:val="TableNormal"/>
    <w:uiPriority w:val="61"/>
    <w:rsid w:val="00F1565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0" w:qFormat="1"/>
    <w:lsdException w:name="endnote reference" w:uiPriority="0"/>
    <w:lsdException w:name="endnote text" w:uiPriority="0"/>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MS Mincho"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hAnsi="Times New Roman" w:cs="Times New Roman"/>
    </w:rPr>
  </w:style>
  <w:style w:type="character" w:styleId="Hyperlink">
    <w:name w:val="Hyperlink"/>
    <w:unhideWhenUsed/>
    <w:rsid w:val="00E73B6A"/>
    <w:rPr>
      <w:color w:val="0000FF"/>
      <w:u w:val="single"/>
    </w:rPr>
  </w:style>
  <w:style w:type="paragraph" w:styleId="NormalWeb">
    <w:name w:val="Normal (Web)"/>
    <w:basedOn w:val="Normal"/>
    <w:uiPriority w:val="99"/>
    <w:unhideWhenUsed/>
    <w:rsid w:val="00E73B6A"/>
    <w:rPr>
      <w:rFonts w:ascii="Times New Roman" w:eastAsia="Calibri" w:hAnsi="Times New Roman" w:cs="Times New Roman"/>
      <w:sz w:val="24"/>
      <w:szCs w:val="24"/>
      <w:lang w:eastAsia="en-US"/>
    </w:rPr>
  </w:style>
  <w:style w:type="paragraph" w:styleId="BalloonText">
    <w:name w:val="Balloon Text"/>
    <w:basedOn w:val="Normal"/>
    <w:link w:val="BalloonTextChar"/>
    <w:uiPriority w:val="99"/>
    <w:semiHidden/>
    <w:unhideWhenUsed/>
    <w:rsid w:val="00E73B6A"/>
    <w:rPr>
      <w:rFonts w:ascii="Tahoma" w:hAnsi="Tahoma" w:cs="Tahoma"/>
      <w:sz w:val="16"/>
      <w:szCs w:val="16"/>
    </w:rPr>
  </w:style>
  <w:style w:type="character" w:customStyle="1" w:styleId="BalloonTextChar">
    <w:name w:val="Balloon Text Char"/>
    <w:basedOn w:val="DefaultParagraphFont"/>
    <w:link w:val="BalloonText"/>
    <w:uiPriority w:val="99"/>
    <w:semiHidden/>
    <w:rsid w:val="00E73B6A"/>
    <w:rPr>
      <w:rFonts w:ascii="Tahoma" w:eastAsia="MS Mincho" w:hAnsi="Tahoma" w:cs="Tahoma"/>
      <w:sz w:val="16"/>
      <w:szCs w:val="16"/>
      <w:lang w:eastAsia="ja-JP"/>
    </w:rPr>
  </w:style>
  <w:style w:type="character" w:styleId="HTMLTypewriter">
    <w:name w:val="HTML Typewriter"/>
    <w:basedOn w:val="DefaultParagraphFont"/>
    <w:uiPriority w:val="99"/>
    <w:semiHidden/>
    <w:unhideWhenUsed/>
    <w:rsid w:val="00271766"/>
    <w:rPr>
      <w:rFonts w:ascii="Courier New" w:eastAsia="Times New Roman" w:hAnsi="Courier New" w:cs="Courier New"/>
      <w:sz w:val="20"/>
      <w:szCs w:val="20"/>
    </w:rPr>
  </w:style>
  <w:style w:type="character" w:customStyle="1" w:styleId="spelle">
    <w:name w:val="spelle"/>
    <w:basedOn w:val="DefaultParagraphFont"/>
    <w:rsid w:val="00271766"/>
  </w:style>
  <w:style w:type="paragraph" w:styleId="ListParagraph">
    <w:name w:val="List Paragraph"/>
    <w:basedOn w:val="Normal"/>
    <w:uiPriority w:val="34"/>
    <w:qFormat/>
    <w:rsid w:val="006925AC"/>
    <w:pPr>
      <w:ind w:left="720"/>
      <w:contextualSpacing/>
    </w:pPr>
  </w:style>
  <w:style w:type="character" w:customStyle="1" w:styleId="apple-converted-space">
    <w:name w:val="apple-converted-space"/>
    <w:basedOn w:val="DefaultParagraphFont"/>
    <w:rsid w:val="00984CC9"/>
  </w:style>
  <w:style w:type="paragraph" w:styleId="EndnoteText">
    <w:name w:val="endnote text"/>
    <w:basedOn w:val="Normal"/>
    <w:link w:val="EndnoteTextChar"/>
    <w:semiHidden/>
    <w:unhideWhenUsed/>
    <w:rsid w:val="00866DD4"/>
    <w:rPr>
      <w:sz w:val="20"/>
      <w:szCs w:val="20"/>
    </w:rPr>
  </w:style>
  <w:style w:type="character" w:customStyle="1" w:styleId="EndnoteTextChar">
    <w:name w:val="Endnote Text Char"/>
    <w:basedOn w:val="DefaultParagraphFont"/>
    <w:link w:val="EndnoteText"/>
    <w:uiPriority w:val="99"/>
    <w:semiHidden/>
    <w:rsid w:val="00866DD4"/>
    <w:rPr>
      <w:rFonts w:ascii="Calibri" w:eastAsia="MS Mincho" w:hAnsi="Calibri" w:cs="Calibri"/>
      <w:sz w:val="20"/>
      <w:szCs w:val="20"/>
      <w:lang w:eastAsia="ja-JP"/>
    </w:rPr>
  </w:style>
  <w:style w:type="character" w:styleId="EndnoteReference">
    <w:name w:val="endnote reference"/>
    <w:basedOn w:val="DefaultParagraphFont"/>
    <w:semiHidden/>
    <w:unhideWhenUsed/>
    <w:rsid w:val="00866DD4"/>
    <w:rPr>
      <w:vertAlign w:val="superscript"/>
    </w:rPr>
  </w:style>
  <w:style w:type="paragraph" w:styleId="FootnoteText">
    <w:name w:val="footnote text"/>
    <w:basedOn w:val="Normal"/>
    <w:link w:val="FootnoteTextChar"/>
    <w:uiPriority w:val="99"/>
    <w:semiHidden/>
    <w:unhideWhenUsed/>
    <w:rsid w:val="00866DD4"/>
    <w:rPr>
      <w:sz w:val="20"/>
      <w:szCs w:val="20"/>
    </w:rPr>
  </w:style>
  <w:style w:type="character" w:customStyle="1" w:styleId="FootnoteTextChar">
    <w:name w:val="Footnote Text Char"/>
    <w:basedOn w:val="DefaultParagraphFont"/>
    <w:link w:val="FootnoteText"/>
    <w:uiPriority w:val="99"/>
    <w:semiHidden/>
    <w:rsid w:val="00866DD4"/>
    <w:rPr>
      <w:rFonts w:ascii="Calibri" w:eastAsia="MS Mincho" w:hAnsi="Calibri" w:cs="Calibri"/>
      <w:sz w:val="20"/>
      <w:szCs w:val="20"/>
      <w:lang w:eastAsia="ja-JP"/>
    </w:rPr>
  </w:style>
  <w:style w:type="character" w:styleId="FootnoteReference">
    <w:name w:val="footnote reference"/>
    <w:basedOn w:val="DefaultParagraphFont"/>
    <w:uiPriority w:val="99"/>
    <w:semiHidden/>
    <w:unhideWhenUsed/>
    <w:rsid w:val="00866DD4"/>
    <w:rPr>
      <w:vertAlign w:val="superscript"/>
    </w:rPr>
  </w:style>
  <w:style w:type="paragraph" w:styleId="Title">
    <w:name w:val="Title"/>
    <w:basedOn w:val="Normal"/>
    <w:next w:val="Normal"/>
    <w:link w:val="TitleChar"/>
    <w:uiPriority w:val="10"/>
    <w:qFormat/>
    <w:rsid w:val="00635B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5B6C"/>
    <w:rPr>
      <w:rFonts w:asciiTheme="majorHAnsi" w:eastAsiaTheme="majorEastAsia" w:hAnsiTheme="majorHAnsi" w:cstheme="majorBidi"/>
      <w:color w:val="17365D" w:themeColor="text2" w:themeShade="BF"/>
      <w:spacing w:val="5"/>
      <w:kern w:val="28"/>
      <w:sz w:val="52"/>
      <w:szCs w:val="52"/>
      <w:lang w:eastAsia="ja-JP"/>
    </w:rPr>
  </w:style>
  <w:style w:type="paragraph" w:styleId="Caption">
    <w:name w:val="caption"/>
    <w:basedOn w:val="Normal"/>
    <w:next w:val="Normal"/>
    <w:qFormat/>
    <w:rsid w:val="007D4787"/>
    <w:pPr>
      <w:spacing w:before="120" w:after="120"/>
    </w:pPr>
    <w:rPr>
      <w:rFonts w:ascii="Times New Roman" w:eastAsia="Times New Roman" w:hAnsi="Times New Roman" w:cs="Times New Roman"/>
      <w:b/>
      <w:bCs/>
      <w:sz w:val="20"/>
      <w:szCs w:val="20"/>
      <w:lang w:eastAsia="en-US"/>
    </w:rPr>
  </w:style>
  <w:style w:type="character" w:styleId="Strong">
    <w:name w:val="Strong"/>
    <w:basedOn w:val="DefaultParagraphFont"/>
    <w:uiPriority w:val="22"/>
    <w:qFormat/>
    <w:rsid w:val="008E41E5"/>
    <w:rPr>
      <w:b/>
      <w:bCs/>
    </w:rPr>
  </w:style>
  <w:style w:type="character" w:styleId="Emphasis">
    <w:name w:val="Emphasis"/>
    <w:basedOn w:val="DefaultParagraphFont"/>
    <w:uiPriority w:val="20"/>
    <w:qFormat/>
    <w:rsid w:val="00E14391"/>
    <w:rPr>
      <w:i/>
      <w:iCs/>
    </w:rPr>
  </w:style>
  <w:style w:type="paragraph" w:styleId="BodyText">
    <w:name w:val="Body Text"/>
    <w:basedOn w:val="Normal"/>
    <w:link w:val="BodyTextChar"/>
    <w:semiHidden/>
    <w:rsid w:val="008B5FD6"/>
    <w:pPr>
      <w:widowControl w:val="0"/>
      <w:tabs>
        <w:tab w:val="left" w:pos="-720"/>
      </w:tabs>
      <w:suppressAutoHyphens/>
      <w:autoSpaceDE w:val="0"/>
      <w:autoSpaceDN w:val="0"/>
      <w:adjustRightInd w:val="0"/>
      <w:spacing w:line="240" w:lineRule="atLeast"/>
      <w:jc w:val="both"/>
    </w:pPr>
    <w:rPr>
      <w:rFonts w:ascii="Courier" w:eastAsia="Times New Roman" w:hAnsi="Courier" w:cs="Times New Roman"/>
      <w:spacing w:val="-3"/>
      <w:sz w:val="24"/>
      <w:szCs w:val="24"/>
      <w:lang w:eastAsia="en-US"/>
    </w:rPr>
  </w:style>
  <w:style w:type="character" w:customStyle="1" w:styleId="BodyTextChar">
    <w:name w:val="Body Text Char"/>
    <w:basedOn w:val="DefaultParagraphFont"/>
    <w:link w:val="BodyText"/>
    <w:semiHidden/>
    <w:rsid w:val="008B5FD6"/>
    <w:rPr>
      <w:rFonts w:ascii="Courier" w:eastAsia="Times New Roman" w:hAnsi="Courier" w:cs="Times New Roman"/>
      <w:spacing w:val="-3"/>
      <w:sz w:val="24"/>
      <w:szCs w:val="24"/>
    </w:rPr>
  </w:style>
  <w:style w:type="table" w:styleId="TableGrid">
    <w:name w:val="Table Grid"/>
    <w:basedOn w:val="TableNormal"/>
    <w:uiPriority w:val="59"/>
    <w:rsid w:val="00C3409A"/>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149E"/>
    <w:rPr>
      <w:color w:val="800080" w:themeColor="followedHyperlink"/>
      <w:u w:val="single"/>
    </w:rPr>
  </w:style>
  <w:style w:type="paragraph" w:styleId="ListBullet">
    <w:name w:val="List Bullet"/>
    <w:basedOn w:val="Normal"/>
    <w:uiPriority w:val="99"/>
    <w:unhideWhenUsed/>
    <w:rsid w:val="00247421"/>
    <w:pPr>
      <w:numPr>
        <w:numId w:val="4"/>
      </w:numPr>
      <w:spacing w:after="200" w:line="276" w:lineRule="auto"/>
      <w:contextualSpacing/>
    </w:pPr>
    <w:rPr>
      <w:rFonts w:asciiTheme="minorHAnsi" w:eastAsiaTheme="minorHAnsi" w:hAnsiTheme="minorHAnsi" w:cstheme="minorBidi"/>
      <w:lang w:eastAsia="en-US"/>
    </w:rPr>
  </w:style>
  <w:style w:type="paragraph" w:customStyle="1" w:styleId="xmsonormal">
    <w:name w:val="x_msonormal"/>
    <w:basedOn w:val="Normal"/>
    <w:rsid w:val="00E62284"/>
    <w:pPr>
      <w:spacing w:before="100" w:beforeAutospacing="1" w:after="100" w:afterAutospacing="1"/>
    </w:pPr>
    <w:rPr>
      <w:rFonts w:ascii="Times New Roman" w:eastAsia="Times New Roman" w:hAnsi="Times New Roman" w:cs="Times New Roman"/>
      <w:sz w:val="24"/>
      <w:szCs w:val="24"/>
      <w:lang w:eastAsia="en-US"/>
    </w:rPr>
  </w:style>
  <w:style w:type="table" w:styleId="LightList-Accent2">
    <w:name w:val="Light List Accent 2"/>
    <w:basedOn w:val="TableNormal"/>
    <w:uiPriority w:val="61"/>
    <w:rsid w:val="00F1565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67012">
      <w:bodyDiv w:val="1"/>
      <w:marLeft w:val="0"/>
      <w:marRight w:val="0"/>
      <w:marTop w:val="0"/>
      <w:marBottom w:val="0"/>
      <w:divBdr>
        <w:top w:val="none" w:sz="0" w:space="0" w:color="auto"/>
        <w:left w:val="none" w:sz="0" w:space="0" w:color="auto"/>
        <w:bottom w:val="none" w:sz="0" w:space="0" w:color="auto"/>
        <w:right w:val="none" w:sz="0" w:space="0" w:color="auto"/>
      </w:divBdr>
    </w:div>
    <w:div w:id="150949364">
      <w:bodyDiv w:val="1"/>
      <w:marLeft w:val="0"/>
      <w:marRight w:val="0"/>
      <w:marTop w:val="0"/>
      <w:marBottom w:val="0"/>
      <w:divBdr>
        <w:top w:val="none" w:sz="0" w:space="0" w:color="auto"/>
        <w:left w:val="none" w:sz="0" w:space="0" w:color="auto"/>
        <w:bottom w:val="none" w:sz="0" w:space="0" w:color="auto"/>
        <w:right w:val="none" w:sz="0" w:space="0" w:color="auto"/>
      </w:divBdr>
    </w:div>
    <w:div w:id="194318256">
      <w:bodyDiv w:val="1"/>
      <w:marLeft w:val="0"/>
      <w:marRight w:val="0"/>
      <w:marTop w:val="0"/>
      <w:marBottom w:val="0"/>
      <w:divBdr>
        <w:top w:val="none" w:sz="0" w:space="0" w:color="auto"/>
        <w:left w:val="none" w:sz="0" w:space="0" w:color="auto"/>
        <w:bottom w:val="none" w:sz="0" w:space="0" w:color="auto"/>
        <w:right w:val="none" w:sz="0" w:space="0" w:color="auto"/>
      </w:divBdr>
      <w:divsChild>
        <w:div w:id="2059619741">
          <w:marLeft w:val="0"/>
          <w:marRight w:val="0"/>
          <w:marTop w:val="75"/>
          <w:marBottom w:val="0"/>
          <w:divBdr>
            <w:top w:val="none" w:sz="0" w:space="0" w:color="auto"/>
            <w:left w:val="none" w:sz="0" w:space="0" w:color="auto"/>
            <w:bottom w:val="none" w:sz="0" w:space="0" w:color="auto"/>
            <w:right w:val="none" w:sz="0" w:space="0" w:color="auto"/>
          </w:divBdr>
        </w:div>
        <w:div w:id="719208122">
          <w:marLeft w:val="0"/>
          <w:marRight w:val="0"/>
          <w:marTop w:val="75"/>
          <w:marBottom w:val="0"/>
          <w:divBdr>
            <w:top w:val="none" w:sz="0" w:space="0" w:color="auto"/>
            <w:left w:val="none" w:sz="0" w:space="0" w:color="auto"/>
            <w:bottom w:val="none" w:sz="0" w:space="0" w:color="auto"/>
            <w:right w:val="none" w:sz="0" w:space="0" w:color="auto"/>
          </w:divBdr>
        </w:div>
      </w:divsChild>
    </w:div>
    <w:div w:id="202986599">
      <w:bodyDiv w:val="1"/>
      <w:marLeft w:val="0"/>
      <w:marRight w:val="0"/>
      <w:marTop w:val="0"/>
      <w:marBottom w:val="0"/>
      <w:divBdr>
        <w:top w:val="none" w:sz="0" w:space="0" w:color="auto"/>
        <w:left w:val="none" w:sz="0" w:space="0" w:color="auto"/>
        <w:bottom w:val="none" w:sz="0" w:space="0" w:color="auto"/>
        <w:right w:val="none" w:sz="0" w:space="0" w:color="auto"/>
      </w:divBdr>
    </w:div>
    <w:div w:id="205915523">
      <w:bodyDiv w:val="1"/>
      <w:marLeft w:val="0"/>
      <w:marRight w:val="0"/>
      <w:marTop w:val="0"/>
      <w:marBottom w:val="0"/>
      <w:divBdr>
        <w:top w:val="none" w:sz="0" w:space="0" w:color="auto"/>
        <w:left w:val="none" w:sz="0" w:space="0" w:color="auto"/>
        <w:bottom w:val="none" w:sz="0" w:space="0" w:color="auto"/>
        <w:right w:val="none" w:sz="0" w:space="0" w:color="auto"/>
      </w:divBdr>
      <w:divsChild>
        <w:div w:id="1218542034">
          <w:marLeft w:val="0"/>
          <w:marRight w:val="0"/>
          <w:marTop w:val="0"/>
          <w:marBottom w:val="0"/>
          <w:divBdr>
            <w:top w:val="none" w:sz="0" w:space="0" w:color="auto"/>
            <w:left w:val="none" w:sz="0" w:space="0" w:color="auto"/>
            <w:bottom w:val="none" w:sz="0" w:space="0" w:color="auto"/>
            <w:right w:val="none" w:sz="0" w:space="0" w:color="auto"/>
          </w:divBdr>
        </w:div>
        <w:div w:id="321130340">
          <w:marLeft w:val="0"/>
          <w:marRight w:val="0"/>
          <w:marTop w:val="75"/>
          <w:marBottom w:val="0"/>
          <w:divBdr>
            <w:top w:val="none" w:sz="0" w:space="0" w:color="auto"/>
            <w:left w:val="none" w:sz="0" w:space="0" w:color="auto"/>
            <w:bottom w:val="none" w:sz="0" w:space="0" w:color="auto"/>
            <w:right w:val="none" w:sz="0" w:space="0" w:color="auto"/>
          </w:divBdr>
        </w:div>
      </w:divsChild>
    </w:div>
    <w:div w:id="375354633">
      <w:bodyDiv w:val="1"/>
      <w:marLeft w:val="0"/>
      <w:marRight w:val="0"/>
      <w:marTop w:val="0"/>
      <w:marBottom w:val="0"/>
      <w:divBdr>
        <w:top w:val="none" w:sz="0" w:space="0" w:color="auto"/>
        <w:left w:val="none" w:sz="0" w:space="0" w:color="auto"/>
        <w:bottom w:val="none" w:sz="0" w:space="0" w:color="auto"/>
        <w:right w:val="none" w:sz="0" w:space="0" w:color="auto"/>
      </w:divBdr>
    </w:div>
    <w:div w:id="405689214">
      <w:bodyDiv w:val="1"/>
      <w:marLeft w:val="0"/>
      <w:marRight w:val="0"/>
      <w:marTop w:val="0"/>
      <w:marBottom w:val="0"/>
      <w:divBdr>
        <w:top w:val="none" w:sz="0" w:space="0" w:color="auto"/>
        <w:left w:val="none" w:sz="0" w:space="0" w:color="auto"/>
        <w:bottom w:val="none" w:sz="0" w:space="0" w:color="auto"/>
        <w:right w:val="none" w:sz="0" w:space="0" w:color="auto"/>
      </w:divBdr>
    </w:div>
    <w:div w:id="499079026">
      <w:bodyDiv w:val="1"/>
      <w:marLeft w:val="0"/>
      <w:marRight w:val="0"/>
      <w:marTop w:val="0"/>
      <w:marBottom w:val="0"/>
      <w:divBdr>
        <w:top w:val="none" w:sz="0" w:space="0" w:color="auto"/>
        <w:left w:val="none" w:sz="0" w:space="0" w:color="auto"/>
        <w:bottom w:val="none" w:sz="0" w:space="0" w:color="auto"/>
        <w:right w:val="none" w:sz="0" w:space="0" w:color="auto"/>
      </w:divBdr>
    </w:div>
    <w:div w:id="543448894">
      <w:bodyDiv w:val="1"/>
      <w:marLeft w:val="0"/>
      <w:marRight w:val="0"/>
      <w:marTop w:val="0"/>
      <w:marBottom w:val="0"/>
      <w:divBdr>
        <w:top w:val="none" w:sz="0" w:space="0" w:color="auto"/>
        <w:left w:val="none" w:sz="0" w:space="0" w:color="auto"/>
        <w:bottom w:val="none" w:sz="0" w:space="0" w:color="auto"/>
        <w:right w:val="none" w:sz="0" w:space="0" w:color="auto"/>
      </w:divBdr>
    </w:div>
    <w:div w:id="547187645">
      <w:bodyDiv w:val="1"/>
      <w:marLeft w:val="0"/>
      <w:marRight w:val="0"/>
      <w:marTop w:val="0"/>
      <w:marBottom w:val="0"/>
      <w:divBdr>
        <w:top w:val="none" w:sz="0" w:space="0" w:color="auto"/>
        <w:left w:val="none" w:sz="0" w:space="0" w:color="auto"/>
        <w:bottom w:val="none" w:sz="0" w:space="0" w:color="auto"/>
        <w:right w:val="none" w:sz="0" w:space="0" w:color="auto"/>
      </w:divBdr>
    </w:div>
    <w:div w:id="566376248">
      <w:bodyDiv w:val="1"/>
      <w:marLeft w:val="0"/>
      <w:marRight w:val="0"/>
      <w:marTop w:val="0"/>
      <w:marBottom w:val="0"/>
      <w:divBdr>
        <w:top w:val="none" w:sz="0" w:space="0" w:color="auto"/>
        <w:left w:val="none" w:sz="0" w:space="0" w:color="auto"/>
        <w:bottom w:val="none" w:sz="0" w:space="0" w:color="auto"/>
        <w:right w:val="none" w:sz="0" w:space="0" w:color="auto"/>
      </w:divBdr>
    </w:div>
    <w:div w:id="640113531">
      <w:bodyDiv w:val="1"/>
      <w:marLeft w:val="0"/>
      <w:marRight w:val="0"/>
      <w:marTop w:val="0"/>
      <w:marBottom w:val="0"/>
      <w:divBdr>
        <w:top w:val="none" w:sz="0" w:space="0" w:color="auto"/>
        <w:left w:val="none" w:sz="0" w:space="0" w:color="auto"/>
        <w:bottom w:val="none" w:sz="0" w:space="0" w:color="auto"/>
        <w:right w:val="none" w:sz="0" w:space="0" w:color="auto"/>
      </w:divBdr>
    </w:div>
    <w:div w:id="677925717">
      <w:bodyDiv w:val="1"/>
      <w:marLeft w:val="0"/>
      <w:marRight w:val="0"/>
      <w:marTop w:val="0"/>
      <w:marBottom w:val="0"/>
      <w:divBdr>
        <w:top w:val="none" w:sz="0" w:space="0" w:color="auto"/>
        <w:left w:val="none" w:sz="0" w:space="0" w:color="auto"/>
        <w:bottom w:val="none" w:sz="0" w:space="0" w:color="auto"/>
        <w:right w:val="none" w:sz="0" w:space="0" w:color="auto"/>
      </w:divBdr>
    </w:div>
    <w:div w:id="706682585">
      <w:bodyDiv w:val="1"/>
      <w:marLeft w:val="0"/>
      <w:marRight w:val="0"/>
      <w:marTop w:val="0"/>
      <w:marBottom w:val="0"/>
      <w:divBdr>
        <w:top w:val="none" w:sz="0" w:space="0" w:color="auto"/>
        <w:left w:val="none" w:sz="0" w:space="0" w:color="auto"/>
        <w:bottom w:val="none" w:sz="0" w:space="0" w:color="auto"/>
        <w:right w:val="none" w:sz="0" w:space="0" w:color="auto"/>
      </w:divBdr>
    </w:div>
    <w:div w:id="773130595">
      <w:bodyDiv w:val="1"/>
      <w:marLeft w:val="0"/>
      <w:marRight w:val="0"/>
      <w:marTop w:val="0"/>
      <w:marBottom w:val="0"/>
      <w:divBdr>
        <w:top w:val="none" w:sz="0" w:space="0" w:color="auto"/>
        <w:left w:val="none" w:sz="0" w:space="0" w:color="auto"/>
        <w:bottom w:val="none" w:sz="0" w:space="0" w:color="auto"/>
        <w:right w:val="none" w:sz="0" w:space="0" w:color="auto"/>
      </w:divBdr>
    </w:div>
    <w:div w:id="790055799">
      <w:bodyDiv w:val="1"/>
      <w:marLeft w:val="0"/>
      <w:marRight w:val="0"/>
      <w:marTop w:val="0"/>
      <w:marBottom w:val="0"/>
      <w:divBdr>
        <w:top w:val="none" w:sz="0" w:space="0" w:color="auto"/>
        <w:left w:val="none" w:sz="0" w:space="0" w:color="auto"/>
        <w:bottom w:val="none" w:sz="0" w:space="0" w:color="auto"/>
        <w:right w:val="none" w:sz="0" w:space="0" w:color="auto"/>
      </w:divBdr>
    </w:div>
    <w:div w:id="881593181">
      <w:bodyDiv w:val="1"/>
      <w:marLeft w:val="0"/>
      <w:marRight w:val="0"/>
      <w:marTop w:val="0"/>
      <w:marBottom w:val="0"/>
      <w:divBdr>
        <w:top w:val="none" w:sz="0" w:space="0" w:color="auto"/>
        <w:left w:val="none" w:sz="0" w:space="0" w:color="auto"/>
        <w:bottom w:val="none" w:sz="0" w:space="0" w:color="auto"/>
        <w:right w:val="none" w:sz="0" w:space="0" w:color="auto"/>
      </w:divBdr>
    </w:div>
    <w:div w:id="973292157">
      <w:bodyDiv w:val="1"/>
      <w:marLeft w:val="0"/>
      <w:marRight w:val="0"/>
      <w:marTop w:val="0"/>
      <w:marBottom w:val="0"/>
      <w:divBdr>
        <w:top w:val="none" w:sz="0" w:space="0" w:color="auto"/>
        <w:left w:val="none" w:sz="0" w:space="0" w:color="auto"/>
        <w:bottom w:val="none" w:sz="0" w:space="0" w:color="auto"/>
        <w:right w:val="none" w:sz="0" w:space="0" w:color="auto"/>
      </w:divBdr>
    </w:div>
    <w:div w:id="985008955">
      <w:bodyDiv w:val="1"/>
      <w:marLeft w:val="0"/>
      <w:marRight w:val="0"/>
      <w:marTop w:val="0"/>
      <w:marBottom w:val="0"/>
      <w:divBdr>
        <w:top w:val="none" w:sz="0" w:space="0" w:color="auto"/>
        <w:left w:val="none" w:sz="0" w:space="0" w:color="auto"/>
        <w:bottom w:val="none" w:sz="0" w:space="0" w:color="auto"/>
        <w:right w:val="none" w:sz="0" w:space="0" w:color="auto"/>
      </w:divBdr>
    </w:div>
    <w:div w:id="1151170985">
      <w:bodyDiv w:val="1"/>
      <w:marLeft w:val="0"/>
      <w:marRight w:val="0"/>
      <w:marTop w:val="0"/>
      <w:marBottom w:val="0"/>
      <w:divBdr>
        <w:top w:val="none" w:sz="0" w:space="0" w:color="auto"/>
        <w:left w:val="none" w:sz="0" w:space="0" w:color="auto"/>
        <w:bottom w:val="none" w:sz="0" w:space="0" w:color="auto"/>
        <w:right w:val="none" w:sz="0" w:space="0" w:color="auto"/>
      </w:divBdr>
    </w:div>
    <w:div w:id="1173494323">
      <w:bodyDiv w:val="1"/>
      <w:marLeft w:val="0"/>
      <w:marRight w:val="0"/>
      <w:marTop w:val="0"/>
      <w:marBottom w:val="0"/>
      <w:divBdr>
        <w:top w:val="none" w:sz="0" w:space="0" w:color="auto"/>
        <w:left w:val="none" w:sz="0" w:space="0" w:color="auto"/>
        <w:bottom w:val="none" w:sz="0" w:space="0" w:color="auto"/>
        <w:right w:val="none" w:sz="0" w:space="0" w:color="auto"/>
      </w:divBdr>
    </w:div>
    <w:div w:id="1282954187">
      <w:bodyDiv w:val="1"/>
      <w:marLeft w:val="0"/>
      <w:marRight w:val="0"/>
      <w:marTop w:val="0"/>
      <w:marBottom w:val="0"/>
      <w:divBdr>
        <w:top w:val="none" w:sz="0" w:space="0" w:color="auto"/>
        <w:left w:val="none" w:sz="0" w:space="0" w:color="auto"/>
        <w:bottom w:val="none" w:sz="0" w:space="0" w:color="auto"/>
        <w:right w:val="none" w:sz="0" w:space="0" w:color="auto"/>
      </w:divBdr>
    </w:div>
    <w:div w:id="1323654593">
      <w:bodyDiv w:val="1"/>
      <w:marLeft w:val="0"/>
      <w:marRight w:val="0"/>
      <w:marTop w:val="0"/>
      <w:marBottom w:val="0"/>
      <w:divBdr>
        <w:top w:val="none" w:sz="0" w:space="0" w:color="auto"/>
        <w:left w:val="none" w:sz="0" w:space="0" w:color="auto"/>
        <w:bottom w:val="none" w:sz="0" w:space="0" w:color="auto"/>
        <w:right w:val="none" w:sz="0" w:space="0" w:color="auto"/>
      </w:divBdr>
    </w:div>
    <w:div w:id="1580404286">
      <w:bodyDiv w:val="1"/>
      <w:marLeft w:val="0"/>
      <w:marRight w:val="0"/>
      <w:marTop w:val="0"/>
      <w:marBottom w:val="0"/>
      <w:divBdr>
        <w:top w:val="none" w:sz="0" w:space="0" w:color="auto"/>
        <w:left w:val="none" w:sz="0" w:space="0" w:color="auto"/>
        <w:bottom w:val="none" w:sz="0" w:space="0" w:color="auto"/>
        <w:right w:val="none" w:sz="0" w:space="0" w:color="auto"/>
      </w:divBdr>
    </w:div>
    <w:div w:id="1613903825">
      <w:bodyDiv w:val="1"/>
      <w:marLeft w:val="0"/>
      <w:marRight w:val="0"/>
      <w:marTop w:val="0"/>
      <w:marBottom w:val="0"/>
      <w:divBdr>
        <w:top w:val="none" w:sz="0" w:space="0" w:color="auto"/>
        <w:left w:val="none" w:sz="0" w:space="0" w:color="auto"/>
        <w:bottom w:val="none" w:sz="0" w:space="0" w:color="auto"/>
        <w:right w:val="none" w:sz="0" w:space="0" w:color="auto"/>
      </w:divBdr>
    </w:div>
    <w:div w:id="1614550584">
      <w:bodyDiv w:val="1"/>
      <w:marLeft w:val="0"/>
      <w:marRight w:val="0"/>
      <w:marTop w:val="0"/>
      <w:marBottom w:val="0"/>
      <w:divBdr>
        <w:top w:val="none" w:sz="0" w:space="0" w:color="auto"/>
        <w:left w:val="none" w:sz="0" w:space="0" w:color="auto"/>
        <w:bottom w:val="none" w:sz="0" w:space="0" w:color="auto"/>
        <w:right w:val="none" w:sz="0" w:space="0" w:color="auto"/>
      </w:divBdr>
    </w:div>
    <w:div w:id="1671834837">
      <w:bodyDiv w:val="1"/>
      <w:marLeft w:val="120"/>
      <w:marRight w:val="120"/>
      <w:marTop w:val="0"/>
      <w:marBottom w:val="120"/>
      <w:divBdr>
        <w:top w:val="none" w:sz="0" w:space="0" w:color="auto"/>
        <w:left w:val="none" w:sz="0" w:space="0" w:color="auto"/>
        <w:bottom w:val="none" w:sz="0" w:space="0" w:color="auto"/>
        <w:right w:val="none" w:sz="0" w:space="0" w:color="auto"/>
      </w:divBdr>
      <w:divsChild>
        <w:div w:id="18899150">
          <w:marLeft w:val="0"/>
          <w:marRight w:val="0"/>
          <w:marTop w:val="0"/>
          <w:marBottom w:val="0"/>
          <w:divBdr>
            <w:top w:val="none" w:sz="0" w:space="0" w:color="auto"/>
            <w:left w:val="none" w:sz="0" w:space="0" w:color="auto"/>
            <w:bottom w:val="none" w:sz="0" w:space="0" w:color="auto"/>
            <w:right w:val="none" w:sz="0" w:space="0" w:color="auto"/>
          </w:divBdr>
          <w:divsChild>
            <w:div w:id="1272975358">
              <w:marLeft w:val="0"/>
              <w:marRight w:val="0"/>
              <w:marTop w:val="0"/>
              <w:marBottom w:val="0"/>
              <w:divBdr>
                <w:top w:val="none" w:sz="0" w:space="0" w:color="auto"/>
                <w:left w:val="none" w:sz="0" w:space="0" w:color="auto"/>
                <w:bottom w:val="none" w:sz="0" w:space="0" w:color="auto"/>
                <w:right w:val="none" w:sz="0" w:space="0" w:color="auto"/>
              </w:divBdr>
              <w:divsChild>
                <w:div w:id="2108689684">
                  <w:marLeft w:val="0"/>
                  <w:marRight w:val="0"/>
                  <w:marTop w:val="0"/>
                  <w:marBottom w:val="0"/>
                  <w:divBdr>
                    <w:top w:val="none" w:sz="0" w:space="0" w:color="auto"/>
                    <w:left w:val="none" w:sz="0" w:space="0" w:color="auto"/>
                    <w:bottom w:val="none" w:sz="0" w:space="0" w:color="auto"/>
                    <w:right w:val="none" w:sz="0" w:space="0" w:color="auto"/>
                  </w:divBdr>
                  <w:divsChild>
                    <w:div w:id="953823419">
                      <w:marLeft w:val="0"/>
                      <w:marRight w:val="0"/>
                      <w:marTop w:val="0"/>
                      <w:marBottom w:val="0"/>
                      <w:divBdr>
                        <w:top w:val="none" w:sz="0" w:space="0" w:color="auto"/>
                        <w:left w:val="none" w:sz="0" w:space="0" w:color="auto"/>
                        <w:bottom w:val="none" w:sz="0" w:space="0" w:color="auto"/>
                        <w:right w:val="none" w:sz="0" w:space="0" w:color="auto"/>
                      </w:divBdr>
                      <w:divsChild>
                        <w:div w:id="1601260194">
                          <w:marLeft w:val="0"/>
                          <w:marRight w:val="0"/>
                          <w:marTop w:val="0"/>
                          <w:marBottom w:val="0"/>
                          <w:divBdr>
                            <w:top w:val="none" w:sz="0" w:space="0" w:color="auto"/>
                            <w:left w:val="none" w:sz="0" w:space="0" w:color="auto"/>
                            <w:bottom w:val="none" w:sz="0" w:space="0" w:color="auto"/>
                            <w:right w:val="none" w:sz="0" w:space="0" w:color="auto"/>
                          </w:divBdr>
                          <w:divsChild>
                            <w:div w:id="9409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01927">
      <w:bodyDiv w:val="1"/>
      <w:marLeft w:val="0"/>
      <w:marRight w:val="0"/>
      <w:marTop w:val="0"/>
      <w:marBottom w:val="0"/>
      <w:divBdr>
        <w:top w:val="none" w:sz="0" w:space="0" w:color="auto"/>
        <w:left w:val="none" w:sz="0" w:space="0" w:color="auto"/>
        <w:bottom w:val="none" w:sz="0" w:space="0" w:color="auto"/>
        <w:right w:val="none" w:sz="0" w:space="0" w:color="auto"/>
      </w:divBdr>
    </w:div>
    <w:div w:id="1910381929">
      <w:bodyDiv w:val="1"/>
      <w:marLeft w:val="0"/>
      <w:marRight w:val="0"/>
      <w:marTop w:val="0"/>
      <w:marBottom w:val="0"/>
      <w:divBdr>
        <w:top w:val="none" w:sz="0" w:space="0" w:color="auto"/>
        <w:left w:val="none" w:sz="0" w:space="0" w:color="auto"/>
        <w:bottom w:val="none" w:sz="0" w:space="0" w:color="auto"/>
        <w:right w:val="none" w:sz="0" w:space="0" w:color="auto"/>
      </w:divBdr>
    </w:div>
    <w:div w:id="1919435478">
      <w:bodyDiv w:val="1"/>
      <w:marLeft w:val="0"/>
      <w:marRight w:val="0"/>
      <w:marTop w:val="0"/>
      <w:marBottom w:val="0"/>
      <w:divBdr>
        <w:top w:val="none" w:sz="0" w:space="0" w:color="auto"/>
        <w:left w:val="none" w:sz="0" w:space="0" w:color="auto"/>
        <w:bottom w:val="none" w:sz="0" w:space="0" w:color="auto"/>
        <w:right w:val="none" w:sz="0" w:space="0" w:color="auto"/>
      </w:divBdr>
    </w:div>
    <w:div w:id="1934168074">
      <w:bodyDiv w:val="1"/>
      <w:marLeft w:val="0"/>
      <w:marRight w:val="0"/>
      <w:marTop w:val="0"/>
      <w:marBottom w:val="0"/>
      <w:divBdr>
        <w:top w:val="none" w:sz="0" w:space="0" w:color="auto"/>
        <w:left w:val="none" w:sz="0" w:space="0" w:color="auto"/>
        <w:bottom w:val="none" w:sz="0" w:space="0" w:color="auto"/>
        <w:right w:val="none" w:sz="0" w:space="0" w:color="auto"/>
      </w:divBdr>
    </w:div>
    <w:div w:id="1993243979">
      <w:bodyDiv w:val="1"/>
      <w:marLeft w:val="0"/>
      <w:marRight w:val="0"/>
      <w:marTop w:val="0"/>
      <w:marBottom w:val="0"/>
      <w:divBdr>
        <w:top w:val="none" w:sz="0" w:space="0" w:color="auto"/>
        <w:left w:val="none" w:sz="0" w:space="0" w:color="auto"/>
        <w:bottom w:val="none" w:sz="0" w:space="0" w:color="auto"/>
        <w:right w:val="none" w:sz="0" w:space="0" w:color="auto"/>
      </w:divBdr>
    </w:div>
    <w:div w:id="2025738694">
      <w:bodyDiv w:val="1"/>
      <w:marLeft w:val="0"/>
      <w:marRight w:val="0"/>
      <w:marTop w:val="0"/>
      <w:marBottom w:val="0"/>
      <w:divBdr>
        <w:top w:val="none" w:sz="0" w:space="0" w:color="auto"/>
        <w:left w:val="none" w:sz="0" w:space="0" w:color="auto"/>
        <w:bottom w:val="none" w:sz="0" w:space="0" w:color="auto"/>
        <w:right w:val="none" w:sz="0" w:space="0" w:color="auto"/>
      </w:divBdr>
    </w:div>
    <w:div w:id="2047832275">
      <w:bodyDiv w:val="1"/>
      <w:marLeft w:val="0"/>
      <w:marRight w:val="0"/>
      <w:marTop w:val="0"/>
      <w:marBottom w:val="0"/>
      <w:divBdr>
        <w:top w:val="none" w:sz="0" w:space="0" w:color="auto"/>
        <w:left w:val="none" w:sz="0" w:space="0" w:color="auto"/>
        <w:bottom w:val="none" w:sz="0" w:space="0" w:color="auto"/>
        <w:right w:val="none" w:sz="0" w:space="0" w:color="auto"/>
      </w:divBdr>
    </w:div>
    <w:div w:id="209532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5.xml"/><Relationship Id="rId26" Type="http://schemas.openxmlformats.org/officeDocument/2006/relationships/hyperlink" Target="http://irows.ucr.edu/research/citemp/isa02/isa02.htm" TargetMode="External"/><Relationship Id="rId39" Type="http://schemas.openxmlformats.org/officeDocument/2006/relationships/hyperlink" Target="http://irows.ucr.edu/research/citemp/estcit/modpop/modcitpop.htm" TargetMode="External"/><Relationship Id="rId21" Type="http://schemas.openxmlformats.org/officeDocument/2006/relationships/hyperlink" Target="http://irows.ucr.edu/papers/irows56/irows56.htm" TargetMode="External"/><Relationship Id="rId34" Type="http://schemas.openxmlformats.org/officeDocument/2006/relationships/hyperlink" Target="http://cos.sagepub.com/content/53/3/210.full.pdf+html" TargetMode="External"/><Relationship Id="rId42" Type="http://schemas.openxmlformats.org/officeDocument/2006/relationships/hyperlink" Target="http://www.nature.com/articles/sdata201634" TargetMode="External"/><Relationship Id="rId47" Type="http://schemas.openxmlformats.org/officeDocument/2006/relationships/hyperlink" Target="https://post.ucr.edu/owa/redir.aspx?C=eYiCeU-ctUieNJRA4CV4fwm3jJc93dAIRqc4iweSWhfiVnuMVbAJB4eg6KbUQSe15_YkYsccVvo.&amp;URL=http%3a%2f%2fdsal.uchicago.edu%2freference%2fschwartzberg%2f" TargetMode="External"/><Relationship Id="rId50" Type="http://schemas.openxmlformats.org/officeDocument/2006/relationships/hyperlink" Target="http://www.sciencedirect.com/science/article/pii/0049089X78900078" TargetMode="External"/><Relationship Id="rId55" Type="http://schemas.openxmlformats.org/officeDocument/2006/relationships/hyperlink" Target="http://www.pnas.org/content/suppl/2013/09/20/1308825110.DCSupplemental/sapp.pdf" TargetMode="External"/><Relationship Id="rId63" Type="http://schemas.openxmlformats.org/officeDocument/2006/relationships/hyperlink" Target="http://metrocosm.com/history-of-citie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irows.ucr.edu/cd/books/cdbooks.htm" TargetMode="External"/><Relationship Id="rId29" Type="http://schemas.openxmlformats.org/officeDocument/2006/relationships/hyperlink" Target="http://irows.ucr.edu/papers/irows100/irows100.htm" TargetMode="External"/><Relationship Id="rId41" Type="http://schemas.openxmlformats.org/officeDocument/2006/relationships/hyperlink" Target="http://dx.doi.org/10.1038/sdata.2016.34" TargetMode="External"/><Relationship Id="rId54" Type="http://schemas.openxmlformats.org/officeDocument/2006/relationships/hyperlink" Target="https://www.youtube.com/watch?v=ymI5Uv5cGU4&amp;feature=em-share_video_user" TargetMode="External"/><Relationship Id="rId62" Type="http://schemas.openxmlformats.org/officeDocument/2006/relationships/hyperlink" Target="http://irows.ucr.edu/research/citemp/asa01/wilkinson.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rows.ucr.edu/papers/irows108/irows108.htm" TargetMode="External"/><Relationship Id="rId24" Type="http://schemas.openxmlformats.org/officeDocument/2006/relationships/hyperlink" Target="http://www.popline.org/node/366534" TargetMode="External"/><Relationship Id="rId32" Type="http://schemas.openxmlformats.org/officeDocument/2006/relationships/hyperlink" Target="http://geacron.com/" TargetMode="External"/><Relationship Id="rId37" Type="http://schemas.openxmlformats.org/officeDocument/2006/relationships/hyperlink" Target="http://www.sciencedirect.com/science/article/pii/S0040162515000244" TargetMode="External"/><Relationship Id="rId40" Type="http://schemas.openxmlformats.org/officeDocument/2006/relationships/hyperlink" Target="http://irows.ucr.edu/research/citemp/estcit/estcit.htm" TargetMode="External"/><Relationship Id="rId45" Type="http://schemas.openxmlformats.org/officeDocument/2006/relationships/hyperlink" Target="http://evolution-institute.org/seshat" TargetMode="External"/><Relationship Id="rId53" Type="http://schemas.openxmlformats.org/officeDocument/2006/relationships/hyperlink" Target="http://onlinelibrary.wiley.com/doi/10.1111/0020-8833.00053/abstract" TargetMode="External"/><Relationship Id="rId58" Type="http://schemas.openxmlformats.org/officeDocument/2006/relationships/hyperlink" Target="http://esa.un.org/unpd/wup/DataQuery/"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https://post.ucr.edu/owa/redir.aspx?C=yGbSyr4yjkuYL5l8EfQjYusgnRjk1tEIechrSLeGc9heIniBaIvbo95Pykp0wJC859hZqfBgBR0.&amp;URL=http%3a%2f%2farve.unil.ch%2fpopmap" TargetMode="External"/><Relationship Id="rId28" Type="http://schemas.openxmlformats.org/officeDocument/2006/relationships/hyperlink" Target="http://www.irows.ucr.edu/cd/reviews/modrev.htm" TargetMode="External"/><Relationship Id="rId36" Type="http://schemas.openxmlformats.org/officeDocument/2006/relationships/hyperlink" Target="http://irows.ucr.edu/papers/irows56/irows56.htm" TargetMode="External"/><Relationship Id="rId49" Type="http://schemas.openxmlformats.org/officeDocument/2006/relationships/hyperlink" Target="http://wsarch.ucr.edu/archive/conferences/confname/papmike.pdf" TargetMode="External"/><Relationship Id="rId57" Type="http://schemas.openxmlformats.org/officeDocument/2006/relationships/hyperlink" Target="http://esa.un.org/unpd/wup/pdf/WUP2011_Methodology.pdf" TargetMode="External"/><Relationship Id="rId61" Type="http://schemas.openxmlformats.org/officeDocument/2006/relationships/hyperlink" Target="http://repositories.cdlib.org/imbs/socdyn/sdeas/vol1/iss2/art2" TargetMode="External"/><Relationship Id="rId10" Type="http://schemas.openxmlformats.org/officeDocument/2006/relationships/image" Target="media/image2.png"/><Relationship Id="rId19" Type="http://schemas.openxmlformats.org/officeDocument/2006/relationships/hyperlink" Target="http://www.citylab.com/housing/2016/06/watch-6000-years-of-urbanization-in-3-minutes-max-galka-metrocosm/487142/" TargetMode="External"/><Relationship Id="rId31" Type="http://schemas.openxmlformats.org/officeDocument/2006/relationships/hyperlink" Target="http://irows.ucr.edu/papers/irows99/irows99.htm" TargetMode="External"/><Relationship Id="rId44" Type="http://schemas.openxmlformats.org/officeDocument/2006/relationships/hyperlink" Target="http://www.citylab.com/housing/2016/06/watch-6000-years-of-urbanization-in-3-minutes-max-galka-metrocosm/487142/" TargetMode="External"/><Relationship Id="rId52" Type="http://schemas.openxmlformats.org/officeDocument/2006/relationships/hyperlink" Target="http://www.jstor.org/pss/1170959" TargetMode="External"/><Relationship Id="rId60" Type="http://schemas.openxmlformats.org/officeDocument/2006/relationships/hyperlink" Target="http://jwsr.pitt.edu/ojs/index.php/jwsr/article/view/279"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hyperlink" Target="http://www.irows.ucr.edu/cd/books/cdbooks.htm" TargetMode="External"/><Relationship Id="rId27" Type="http://schemas.openxmlformats.org/officeDocument/2006/relationships/hyperlink" Target="http://irows.ucr.edu/papers/irows79/irows79.htm" TargetMode="External"/><Relationship Id="rId30" Type="http://schemas.openxmlformats.org/officeDocument/2006/relationships/hyperlink" Target="http://irows.ucr.edu/papers/irows111/irows111.htm" TargetMode="External"/><Relationship Id="rId35" Type="http://schemas.openxmlformats.org/officeDocument/2006/relationships/hyperlink" Target="http://irows.ucr.edu/papers/irows89/irows89.htm" TargetMode="External"/><Relationship Id="rId43" Type="http://schemas.openxmlformats.org/officeDocument/2006/relationships/hyperlink" Target="http://www.nature.com/articles/sdata201634" TargetMode="External"/><Relationship Id="rId48" Type="http://schemas.openxmlformats.org/officeDocument/2006/relationships/hyperlink" Target="http://publishingarchaeology.blogspot.jp/2016/06/why-would-journal-called-scientific.html" TargetMode="External"/><Relationship Id="rId56" Type="http://schemas.openxmlformats.org/officeDocument/2006/relationships/hyperlink" Target="https://post.ucr.edu/owa/redir.aspx?SURL=yiJIF9sH_WmaBOWBBhh6kwhQoQP6NqHke69uOzx-cTXwjjTnN5nSCGgAdAB0AHAAOgAvAC8AZQBzAGEALgB1AG4ALgBvAHIAZwAvAHUAbgBwAGQALwB3AHUAcAAvAEMARAAtAFIATwBNAC8A&amp;URL=http%3a%2f%2fesa.un.org%2funpd%2fwup%2fCD-ROM%2f"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sciencedirect.com/science/article/pii/0049089X78900108" TargetMode="External"/><Relationship Id="rId3" Type="http://schemas.openxmlformats.org/officeDocument/2006/relationships/styles" Target="styles.xml"/><Relationship Id="rId12" Type="http://schemas.openxmlformats.org/officeDocument/2006/relationships/hyperlink" Target="http://irows.ucr.edu/cd/appendices/powsize/powsizeapp.htm" TargetMode="External"/><Relationship Id="rId17" Type="http://schemas.openxmlformats.org/officeDocument/2006/relationships/chart" Target="charts/chart4.xml"/><Relationship Id="rId25" Type="http://schemas.openxmlformats.org/officeDocument/2006/relationships/hyperlink" Target="http://www.irows.ucr.edu/cd/papers/isq01/isq01.htm" TargetMode="External"/><Relationship Id="rId33" Type="http://schemas.openxmlformats.org/officeDocument/2006/relationships/hyperlink" Target="https://www.youtube.com/watch?v=ymI5Uv5cGU4&amp;feature=em-share_video_user" TargetMode="External"/><Relationship Id="rId38" Type="http://schemas.openxmlformats.org/officeDocument/2006/relationships/hyperlink" Target="http://ianmorris.org/docs/social-development.pdf" TargetMode="External"/><Relationship Id="rId46" Type="http://schemas.openxmlformats.org/officeDocument/2006/relationships/hyperlink" Target="http://irows.ucr.edu/research/citemp/citemp.html" TargetMode="External"/><Relationship Id="rId59" Type="http://schemas.openxmlformats.org/officeDocument/2006/relationships/hyperlink" Target="http://jwsr.ucr.edu/archive/vol10/number3/pdf/jwsr-v10n3-wilkinso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irows.ucr.edu/cd/appendices/powsize/powsize.xlsx" TargetMode="External"/><Relationship Id="rId2" Type="http://schemas.openxmlformats.org/officeDocument/2006/relationships/hyperlink" Target="http://wsarch.ucr.edu/archive/data/setdataset.htm" TargetMode="External"/><Relationship Id="rId1" Type="http://schemas.openxmlformats.org/officeDocument/2006/relationships/hyperlink" Target="http://irows.ucr.edu/research/citemp/citemp.html" TargetMode="External"/><Relationship Id="rId4" Type="http://schemas.openxmlformats.org/officeDocument/2006/relationships/hyperlink" Target="http://irows.ucr.edu/papers/irows111/irows111.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mesopotamia100!$B$1</c:f>
              <c:strCache>
                <c:ptCount val="1"/>
                <c:pt idx="0">
                  <c:v>Power Configuration</c:v>
                </c:pt>
              </c:strCache>
            </c:strRef>
          </c:tx>
          <c:trendline>
            <c:trendlineType val="linear"/>
            <c:dispRSqr val="0"/>
            <c:dispEq val="0"/>
          </c:trendline>
          <c:cat>
            <c:numRef>
              <c:f>mesopotamia100!$A$2:$A$14</c:f>
              <c:numCache>
                <c:formatCode>General</c:formatCode>
                <c:ptCount val="13"/>
                <c:pt idx="0">
                  <c:v>-2700</c:v>
                </c:pt>
                <c:pt idx="1">
                  <c:v>-2600</c:v>
                </c:pt>
                <c:pt idx="2">
                  <c:v>-2500</c:v>
                </c:pt>
                <c:pt idx="3">
                  <c:v>-2400</c:v>
                </c:pt>
                <c:pt idx="4">
                  <c:v>-2300</c:v>
                </c:pt>
                <c:pt idx="5">
                  <c:v>-2200</c:v>
                </c:pt>
                <c:pt idx="6">
                  <c:v>-2100</c:v>
                </c:pt>
                <c:pt idx="7">
                  <c:v>-2000</c:v>
                </c:pt>
                <c:pt idx="8">
                  <c:v>-1900</c:v>
                </c:pt>
                <c:pt idx="9">
                  <c:v>-1800</c:v>
                </c:pt>
                <c:pt idx="10">
                  <c:v>-1700</c:v>
                </c:pt>
                <c:pt idx="11">
                  <c:v>-1600</c:v>
                </c:pt>
                <c:pt idx="12">
                  <c:v>-1500</c:v>
                </c:pt>
              </c:numCache>
            </c:numRef>
          </c:cat>
          <c:val>
            <c:numRef>
              <c:f>mesopotamia100!$B$2:$B$14</c:f>
              <c:numCache>
                <c:formatCode>General</c:formatCode>
                <c:ptCount val="13"/>
                <c:pt idx="0">
                  <c:v>1</c:v>
                </c:pt>
                <c:pt idx="1">
                  <c:v>1</c:v>
                </c:pt>
                <c:pt idx="2">
                  <c:v>1</c:v>
                </c:pt>
                <c:pt idx="3">
                  <c:v>1</c:v>
                </c:pt>
                <c:pt idx="4">
                  <c:v>3</c:v>
                </c:pt>
                <c:pt idx="5">
                  <c:v>6</c:v>
                </c:pt>
                <c:pt idx="6">
                  <c:v>5</c:v>
                </c:pt>
                <c:pt idx="7">
                  <c:v>1</c:v>
                </c:pt>
                <c:pt idx="8">
                  <c:v>3</c:v>
                </c:pt>
                <c:pt idx="9">
                  <c:v>4</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0-14F6-4588-8FA4-DF86CEA3DC44}"/>
            </c:ext>
          </c:extLst>
        </c:ser>
        <c:ser>
          <c:idx val="2"/>
          <c:order val="1"/>
          <c:tx>
            <c:strRef>
              <c:f>mesopotamia100!$C$1</c:f>
              <c:strCache>
                <c:ptCount val="1"/>
                <c:pt idx="0">
                  <c:v>city</c:v>
                </c:pt>
              </c:strCache>
            </c:strRef>
          </c:tx>
          <c:cat>
            <c:numRef>
              <c:f>mesopotamia100!$A$2:$A$14</c:f>
              <c:numCache>
                <c:formatCode>General</c:formatCode>
                <c:ptCount val="13"/>
                <c:pt idx="0">
                  <c:v>-2700</c:v>
                </c:pt>
                <c:pt idx="1">
                  <c:v>-2600</c:v>
                </c:pt>
                <c:pt idx="2">
                  <c:v>-2500</c:v>
                </c:pt>
                <c:pt idx="3">
                  <c:v>-2400</c:v>
                </c:pt>
                <c:pt idx="4">
                  <c:v>-2300</c:v>
                </c:pt>
                <c:pt idx="5">
                  <c:v>-2200</c:v>
                </c:pt>
                <c:pt idx="6">
                  <c:v>-2100</c:v>
                </c:pt>
                <c:pt idx="7">
                  <c:v>-2000</c:v>
                </c:pt>
                <c:pt idx="8">
                  <c:v>-1900</c:v>
                </c:pt>
                <c:pt idx="9">
                  <c:v>-1800</c:v>
                </c:pt>
                <c:pt idx="10">
                  <c:v>-1700</c:v>
                </c:pt>
                <c:pt idx="11">
                  <c:v>-1600</c:v>
                </c:pt>
                <c:pt idx="12">
                  <c:v>-1500</c:v>
                </c:pt>
              </c:numCache>
            </c:numRef>
          </c:cat>
          <c:val>
            <c:numRef>
              <c:f>mesopotamia100!$C$2:$C$14</c:f>
              <c:numCache>
                <c:formatCode>0</c:formatCode>
                <c:ptCount val="13"/>
                <c:pt idx="0">
                  <c:v>93.333333333333343</c:v>
                </c:pt>
                <c:pt idx="1">
                  <c:v>106.66666666666667</c:v>
                </c:pt>
                <c:pt idx="2">
                  <c:v>120</c:v>
                </c:pt>
                <c:pt idx="3" formatCode="General">
                  <c:v>120</c:v>
                </c:pt>
                <c:pt idx="4" formatCode="General">
                  <c:v>120</c:v>
                </c:pt>
                <c:pt idx="5" formatCode="General">
                  <c:v>120</c:v>
                </c:pt>
                <c:pt idx="6" formatCode="General">
                  <c:v>120</c:v>
                </c:pt>
                <c:pt idx="7" formatCode="General">
                  <c:v>120</c:v>
                </c:pt>
                <c:pt idx="8" formatCode="General">
                  <c:v>90</c:v>
                </c:pt>
                <c:pt idx="9" formatCode="General">
                  <c:v>60</c:v>
                </c:pt>
                <c:pt idx="10" formatCode="General">
                  <c:v>60</c:v>
                </c:pt>
                <c:pt idx="11" formatCode="General">
                  <c:v>60</c:v>
                </c:pt>
                <c:pt idx="12" formatCode="General">
                  <c:v>35</c:v>
                </c:pt>
              </c:numCache>
            </c:numRef>
          </c:val>
          <c:smooth val="0"/>
          <c:extLst xmlns:c16r2="http://schemas.microsoft.com/office/drawing/2015/06/chart">
            <c:ext xmlns:c16="http://schemas.microsoft.com/office/drawing/2014/chart" uri="{C3380CC4-5D6E-409C-BE32-E72D297353CC}">
              <c16:uniqueId val="{00000001-14F6-4588-8FA4-DF86CEA3DC44}"/>
            </c:ext>
          </c:extLst>
        </c:ser>
        <c:dLbls>
          <c:showLegendKey val="0"/>
          <c:showVal val="0"/>
          <c:showCatName val="0"/>
          <c:showSerName val="0"/>
          <c:showPercent val="0"/>
          <c:showBubbleSize val="0"/>
        </c:dLbls>
        <c:marker val="1"/>
        <c:smooth val="0"/>
        <c:axId val="274391424"/>
        <c:axId val="288083968"/>
      </c:lineChart>
      <c:lineChart>
        <c:grouping val="standard"/>
        <c:varyColors val="0"/>
        <c:ser>
          <c:idx val="3"/>
          <c:order val="2"/>
          <c:tx>
            <c:strRef>
              <c:f>mesopotamia100!$D$1</c:f>
              <c:strCache>
                <c:ptCount val="1"/>
                <c:pt idx="0">
                  <c:v>state</c:v>
                </c:pt>
              </c:strCache>
            </c:strRef>
          </c:tx>
          <c:marker>
            <c:symbol val="circle"/>
            <c:size val="7"/>
          </c:marker>
          <c:cat>
            <c:numRef>
              <c:f>mesopotamia100!$A$2:$A$14</c:f>
              <c:numCache>
                <c:formatCode>General</c:formatCode>
                <c:ptCount val="13"/>
                <c:pt idx="0">
                  <c:v>-2700</c:v>
                </c:pt>
                <c:pt idx="1">
                  <c:v>-2600</c:v>
                </c:pt>
                <c:pt idx="2">
                  <c:v>-2500</c:v>
                </c:pt>
                <c:pt idx="3">
                  <c:v>-2400</c:v>
                </c:pt>
                <c:pt idx="4">
                  <c:v>-2300</c:v>
                </c:pt>
                <c:pt idx="5">
                  <c:v>-2200</c:v>
                </c:pt>
                <c:pt idx="6">
                  <c:v>-2100</c:v>
                </c:pt>
                <c:pt idx="7">
                  <c:v>-2000</c:v>
                </c:pt>
                <c:pt idx="8">
                  <c:v>-1900</c:v>
                </c:pt>
                <c:pt idx="9">
                  <c:v>-1800</c:v>
                </c:pt>
                <c:pt idx="10">
                  <c:v>-1700</c:v>
                </c:pt>
                <c:pt idx="11">
                  <c:v>-1600</c:v>
                </c:pt>
                <c:pt idx="12">
                  <c:v>-1500</c:v>
                </c:pt>
              </c:numCache>
            </c:numRef>
          </c:cat>
          <c:val>
            <c:numRef>
              <c:f>mesopotamia100!$D$2:$D$14</c:f>
              <c:numCache>
                <c:formatCode>General</c:formatCode>
                <c:ptCount val="13"/>
                <c:pt idx="0">
                  <c:v>1.6666666666666666E-2</c:v>
                </c:pt>
                <c:pt idx="1">
                  <c:v>2.3333333333333334E-2</c:v>
                </c:pt>
                <c:pt idx="2">
                  <c:v>0.03</c:v>
                </c:pt>
                <c:pt idx="3">
                  <c:v>0.05</c:v>
                </c:pt>
                <c:pt idx="4">
                  <c:v>0.65</c:v>
                </c:pt>
                <c:pt idx="5">
                  <c:v>0.25</c:v>
                </c:pt>
                <c:pt idx="6">
                  <c:v>0.03</c:v>
                </c:pt>
                <c:pt idx="7">
                  <c:v>0.1</c:v>
                </c:pt>
                <c:pt idx="8">
                  <c:v>1E-3</c:v>
                </c:pt>
                <c:pt idx="9">
                  <c:v>0.1</c:v>
                </c:pt>
                <c:pt idx="10">
                  <c:v>0.2</c:v>
                </c:pt>
                <c:pt idx="11">
                  <c:v>0.2</c:v>
                </c:pt>
                <c:pt idx="12">
                  <c:v>0.25</c:v>
                </c:pt>
              </c:numCache>
            </c:numRef>
          </c:val>
          <c:smooth val="0"/>
          <c:extLst xmlns:c16r2="http://schemas.microsoft.com/office/drawing/2015/06/chart">
            <c:ext xmlns:c16="http://schemas.microsoft.com/office/drawing/2014/chart" uri="{C3380CC4-5D6E-409C-BE32-E72D297353CC}">
              <c16:uniqueId val="{00000002-14F6-4588-8FA4-DF86CEA3DC44}"/>
            </c:ext>
          </c:extLst>
        </c:ser>
        <c:dLbls>
          <c:showLegendKey val="0"/>
          <c:showVal val="0"/>
          <c:showCatName val="0"/>
          <c:showSerName val="0"/>
          <c:showPercent val="0"/>
          <c:showBubbleSize val="0"/>
        </c:dLbls>
        <c:marker val="1"/>
        <c:smooth val="0"/>
        <c:axId val="255340928"/>
        <c:axId val="288086272"/>
      </c:lineChart>
      <c:catAx>
        <c:axId val="27439142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88083968"/>
        <c:crosses val="autoZero"/>
        <c:auto val="0"/>
        <c:lblAlgn val="ctr"/>
        <c:lblOffset val="100"/>
        <c:noMultiLvlLbl val="0"/>
      </c:catAx>
      <c:valAx>
        <c:axId val="288083968"/>
        <c:scaling>
          <c:orientation val="minMax"/>
        </c:scaling>
        <c:delete val="0"/>
        <c:axPos val="l"/>
        <c:majorGridlines/>
        <c:title>
          <c:tx>
            <c:rich>
              <a:bodyPr rot="0" vert="wordArtVert"/>
              <a:lstStyle/>
              <a:p>
                <a:pPr>
                  <a:defRPr/>
                </a:pPr>
                <a:r>
                  <a:rPr lang="en-US"/>
                  <a:t>City Population (thousands)</a:t>
                </a:r>
              </a:p>
            </c:rich>
          </c:tx>
          <c:overlay val="0"/>
        </c:title>
        <c:numFmt formatCode="General" sourceLinked="1"/>
        <c:majorTickMark val="out"/>
        <c:minorTickMark val="none"/>
        <c:tickLblPos val="nextTo"/>
        <c:crossAx val="274391424"/>
        <c:crosses val="autoZero"/>
        <c:crossBetween val="between"/>
      </c:valAx>
      <c:valAx>
        <c:axId val="288086272"/>
        <c:scaling>
          <c:orientation val="minMax"/>
        </c:scaling>
        <c:delete val="0"/>
        <c:axPos val="r"/>
        <c:title>
          <c:tx>
            <c:rich>
              <a:bodyPr rot="-5400000" vert="horz"/>
              <a:lstStyle/>
              <a:p>
                <a:pPr>
                  <a:defRPr/>
                </a:pPr>
                <a:r>
                  <a:rPr lang="en-US"/>
                  <a:t>Polity Territorial Size (sq. memgameters)</a:t>
                </a:r>
              </a:p>
            </c:rich>
          </c:tx>
          <c:overlay val="0"/>
        </c:title>
        <c:numFmt formatCode="General" sourceLinked="1"/>
        <c:majorTickMark val="out"/>
        <c:minorTickMark val="none"/>
        <c:tickLblPos val="nextTo"/>
        <c:crossAx val="255340928"/>
        <c:crosses val="max"/>
        <c:crossBetween val="between"/>
      </c:valAx>
      <c:catAx>
        <c:axId val="255340928"/>
        <c:scaling>
          <c:orientation val="minMax"/>
        </c:scaling>
        <c:delete val="1"/>
        <c:axPos val="b"/>
        <c:numFmt formatCode="General" sourceLinked="1"/>
        <c:majorTickMark val="out"/>
        <c:minorTickMark val="none"/>
        <c:tickLblPos val="nextTo"/>
        <c:crossAx val="288086272"/>
        <c:crosses val="autoZero"/>
        <c:auto val="1"/>
        <c:lblAlgn val="ctr"/>
        <c:lblOffset val="100"/>
        <c:noMultiLvlLbl val="0"/>
      </c:catAx>
    </c:plotArea>
    <c:legend>
      <c:legendPos val="b"/>
      <c:legendEntry>
        <c:idx val="3"/>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Egypt100!$B$1</c:f>
              <c:strCache>
                <c:ptCount val="1"/>
                <c:pt idx="0">
                  <c:v>Egyptian Power Configuration</c:v>
                </c:pt>
              </c:strCache>
            </c:strRef>
          </c:tx>
          <c:cat>
            <c:numRef>
              <c:f>Egypt100!$A$2:$A$13</c:f>
              <c:numCache>
                <c:formatCode>General</c:formatCode>
                <c:ptCount val="12"/>
                <c:pt idx="0">
                  <c:v>-2600</c:v>
                </c:pt>
                <c:pt idx="1">
                  <c:v>-2500</c:v>
                </c:pt>
                <c:pt idx="2">
                  <c:v>-2400</c:v>
                </c:pt>
                <c:pt idx="3">
                  <c:v>-2300</c:v>
                </c:pt>
                <c:pt idx="4">
                  <c:v>-2200</c:v>
                </c:pt>
                <c:pt idx="5">
                  <c:v>-2100</c:v>
                </c:pt>
                <c:pt idx="6">
                  <c:v>-2000</c:v>
                </c:pt>
                <c:pt idx="7">
                  <c:v>-1900</c:v>
                </c:pt>
                <c:pt idx="8">
                  <c:v>-1800</c:v>
                </c:pt>
                <c:pt idx="9">
                  <c:v>-1700</c:v>
                </c:pt>
                <c:pt idx="10">
                  <c:v>-1600</c:v>
                </c:pt>
                <c:pt idx="11">
                  <c:v>-1500</c:v>
                </c:pt>
              </c:numCache>
            </c:numRef>
          </c:cat>
          <c:val>
            <c:numRef>
              <c:f>Egypt100!$B$2:$B$13</c:f>
              <c:numCache>
                <c:formatCode>General</c:formatCode>
                <c:ptCount val="12"/>
                <c:pt idx="0">
                  <c:v>6</c:v>
                </c:pt>
                <c:pt idx="1">
                  <c:v>6</c:v>
                </c:pt>
                <c:pt idx="2">
                  <c:v>6</c:v>
                </c:pt>
                <c:pt idx="3">
                  <c:v>6</c:v>
                </c:pt>
                <c:pt idx="4">
                  <c:v>6</c:v>
                </c:pt>
                <c:pt idx="5">
                  <c:v>4</c:v>
                </c:pt>
                <c:pt idx="6">
                  <c:v>3</c:v>
                </c:pt>
                <c:pt idx="7">
                  <c:v>5</c:v>
                </c:pt>
                <c:pt idx="8">
                  <c:v>6</c:v>
                </c:pt>
                <c:pt idx="9">
                  <c:v>4</c:v>
                </c:pt>
                <c:pt idx="10">
                  <c:v>4</c:v>
                </c:pt>
                <c:pt idx="11">
                  <c:v>4</c:v>
                </c:pt>
              </c:numCache>
            </c:numRef>
          </c:val>
          <c:smooth val="0"/>
          <c:extLst xmlns:c16r2="http://schemas.microsoft.com/office/drawing/2015/06/chart">
            <c:ext xmlns:c16="http://schemas.microsoft.com/office/drawing/2014/chart" uri="{C3380CC4-5D6E-409C-BE32-E72D297353CC}">
              <c16:uniqueId val="{00000000-242C-45CF-897B-129C736532DB}"/>
            </c:ext>
          </c:extLst>
        </c:ser>
        <c:ser>
          <c:idx val="2"/>
          <c:order val="1"/>
          <c:tx>
            <c:strRef>
              <c:f>Egypt100!$C$1</c:f>
              <c:strCache>
                <c:ptCount val="1"/>
                <c:pt idx="0">
                  <c:v>city</c:v>
                </c:pt>
              </c:strCache>
            </c:strRef>
          </c:tx>
          <c:cat>
            <c:numRef>
              <c:f>Egypt100!$A$2:$A$13</c:f>
              <c:numCache>
                <c:formatCode>General</c:formatCode>
                <c:ptCount val="12"/>
                <c:pt idx="0">
                  <c:v>-2600</c:v>
                </c:pt>
                <c:pt idx="1">
                  <c:v>-2500</c:v>
                </c:pt>
                <c:pt idx="2">
                  <c:v>-2400</c:v>
                </c:pt>
                <c:pt idx="3">
                  <c:v>-2300</c:v>
                </c:pt>
                <c:pt idx="4">
                  <c:v>-2200</c:v>
                </c:pt>
                <c:pt idx="5">
                  <c:v>-2100</c:v>
                </c:pt>
                <c:pt idx="6">
                  <c:v>-2000</c:v>
                </c:pt>
                <c:pt idx="7">
                  <c:v>-1900</c:v>
                </c:pt>
                <c:pt idx="8">
                  <c:v>-1800</c:v>
                </c:pt>
                <c:pt idx="9">
                  <c:v>-1700</c:v>
                </c:pt>
                <c:pt idx="10">
                  <c:v>-1600</c:v>
                </c:pt>
                <c:pt idx="11">
                  <c:v>-1500</c:v>
                </c:pt>
              </c:numCache>
            </c:numRef>
          </c:cat>
          <c:val>
            <c:numRef>
              <c:f>Egypt100!$C$2:$C$13</c:f>
              <c:numCache>
                <c:formatCode>General</c:formatCode>
                <c:ptCount val="12"/>
                <c:pt idx="0">
                  <c:v>30</c:v>
                </c:pt>
                <c:pt idx="1">
                  <c:v>30</c:v>
                </c:pt>
                <c:pt idx="2">
                  <c:v>30</c:v>
                </c:pt>
                <c:pt idx="3">
                  <c:v>30</c:v>
                </c:pt>
                <c:pt idx="4">
                  <c:v>30</c:v>
                </c:pt>
                <c:pt idx="5">
                  <c:v>45</c:v>
                </c:pt>
                <c:pt idx="6">
                  <c:v>60</c:v>
                </c:pt>
                <c:pt idx="7">
                  <c:v>45</c:v>
                </c:pt>
                <c:pt idx="8">
                  <c:v>30</c:v>
                </c:pt>
                <c:pt idx="9">
                  <c:v>20</c:v>
                </c:pt>
                <c:pt idx="10">
                  <c:v>75</c:v>
                </c:pt>
                <c:pt idx="11">
                  <c:v>75</c:v>
                </c:pt>
              </c:numCache>
            </c:numRef>
          </c:val>
          <c:smooth val="0"/>
          <c:extLst xmlns:c16r2="http://schemas.microsoft.com/office/drawing/2015/06/chart">
            <c:ext xmlns:c16="http://schemas.microsoft.com/office/drawing/2014/chart" uri="{C3380CC4-5D6E-409C-BE32-E72D297353CC}">
              <c16:uniqueId val="{00000001-242C-45CF-897B-129C736532DB}"/>
            </c:ext>
          </c:extLst>
        </c:ser>
        <c:dLbls>
          <c:showLegendKey val="0"/>
          <c:showVal val="0"/>
          <c:showCatName val="0"/>
          <c:showSerName val="0"/>
          <c:showPercent val="0"/>
          <c:showBubbleSize val="0"/>
        </c:dLbls>
        <c:marker val="1"/>
        <c:smooth val="0"/>
        <c:axId val="255644032"/>
        <c:axId val="255645952"/>
      </c:lineChart>
      <c:lineChart>
        <c:grouping val="standard"/>
        <c:varyColors val="0"/>
        <c:ser>
          <c:idx val="3"/>
          <c:order val="2"/>
          <c:tx>
            <c:strRef>
              <c:f>Egypt100!$D$1</c:f>
              <c:strCache>
                <c:ptCount val="1"/>
                <c:pt idx="0">
                  <c:v>state</c:v>
                </c:pt>
              </c:strCache>
            </c:strRef>
          </c:tx>
          <c:marker>
            <c:symbol val="circle"/>
            <c:size val="7"/>
          </c:marker>
          <c:cat>
            <c:numRef>
              <c:f>Egypt100!$A$2:$A$13</c:f>
              <c:numCache>
                <c:formatCode>General</c:formatCode>
                <c:ptCount val="12"/>
                <c:pt idx="0">
                  <c:v>-2600</c:v>
                </c:pt>
                <c:pt idx="1">
                  <c:v>-2500</c:v>
                </c:pt>
                <c:pt idx="2">
                  <c:v>-2400</c:v>
                </c:pt>
                <c:pt idx="3">
                  <c:v>-2300</c:v>
                </c:pt>
                <c:pt idx="4">
                  <c:v>-2200</c:v>
                </c:pt>
                <c:pt idx="5">
                  <c:v>-2100</c:v>
                </c:pt>
                <c:pt idx="6">
                  <c:v>-2000</c:v>
                </c:pt>
                <c:pt idx="7">
                  <c:v>-1900</c:v>
                </c:pt>
                <c:pt idx="8">
                  <c:v>-1800</c:v>
                </c:pt>
                <c:pt idx="9">
                  <c:v>-1700</c:v>
                </c:pt>
                <c:pt idx="10">
                  <c:v>-1600</c:v>
                </c:pt>
                <c:pt idx="11">
                  <c:v>-1500</c:v>
                </c:pt>
              </c:numCache>
            </c:numRef>
          </c:cat>
          <c:val>
            <c:numRef>
              <c:f>Egypt100!$D$2:$D$13</c:f>
              <c:numCache>
                <c:formatCode>General</c:formatCode>
                <c:ptCount val="12"/>
                <c:pt idx="0">
                  <c:v>0.375</c:v>
                </c:pt>
                <c:pt idx="1">
                  <c:v>0.4</c:v>
                </c:pt>
                <c:pt idx="2">
                  <c:v>0.4</c:v>
                </c:pt>
                <c:pt idx="3">
                  <c:v>0.25</c:v>
                </c:pt>
                <c:pt idx="4">
                  <c:v>0.08</c:v>
                </c:pt>
                <c:pt idx="5">
                  <c:v>0.1</c:v>
                </c:pt>
                <c:pt idx="6">
                  <c:v>0.2</c:v>
                </c:pt>
                <c:pt idx="7">
                  <c:v>0.5</c:v>
                </c:pt>
                <c:pt idx="8">
                  <c:v>0.5</c:v>
                </c:pt>
                <c:pt idx="9">
                  <c:v>0.25</c:v>
                </c:pt>
                <c:pt idx="10">
                  <c:v>0.65</c:v>
                </c:pt>
                <c:pt idx="11">
                  <c:v>0.65</c:v>
                </c:pt>
              </c:numCache>
            </c:numRef>
          </c:val>
          <c:smooth val="0"/>
          <c:extLst xmlns:c16r2="http://schemas.microsoft.com/office/drawing/2015/06/chart">
            <c:ext xmlns:c16="http://schemas.microsoft.com/office/drawing/2014/chart" uri="{C3380CC4-5D6E-409C-BE32-E72D297353CC}">
              <c16:uniqueId val="{00000002-242C-45CF-897B-129C736532DB}"/>
            </c:ext>
          </c:extLst>
        </c:ser>
        <c:dLbls>
          <c:showLegendKey val="0"/>
          <c:showVal val="0"/>
          <c:showCatName val="0"/>
          <c:showSerName val="0"/>
          <c:showPercent val="0"/>
          <c:showBubbleSize val="0"/>
        </c:dLbls>
        <c:marker val="1"/>
        <c:smooth val="0"/>
        <c:axId val="255678720"/>
        <c:axId val="255676800"/>
      </c:lineChart>
      <c:catAx>
        <c:axId val="25564403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55645952"/>
        <c:crosses val="autoZero"/>
        <c:auto val="1"/>
        <c:lblAlgn val="ctr"/>
        <c:lblOffset val="100"/>
        <c:noMultiLvlLbl val="0"/>
      </c:catAx>
      <c:valAx>
        <c:axId val="255645952"/>
        <c:scaling>
          <c:orientation val="minMax"/>
        </c:scaling>
        <c:delete val="0"/>
        <c:axPos val="l"/>
        <c:majorGridlines/>
        <c:title>
          <c:tx>
            <c:rich>
              <a:bodyPr rot="-5400000" vert="horz"/>
              <a:lstStyle/>
              <a:p>
                <a:pPr>
                  <a:defRPr/>
                </a:pPr>
                <a:r>
                  <a:rPr lang="en-US"/>
                  <a:t>City Population (thousands)</a:t>
                </a:r>
              </a:p>
            </c:rich>
          </c:tx>
          <c:overlay val="0"/>
        </c:title>
        <c:numFmt formatCode="General" sourceLinked="1"/>
        <c:majorTickMark val="out"/>
        <c:minorTickMark val="none"/>
        <c:tickLblPos val="nextTo"/>
        <c:crossAx val="255644032"/>
        <c:crosses val="autoZero"/>
        <c:crossBetween val="between"/>
      </c:valAx>
      <c:valAx>
        <c:axId val="255676800"/>
        <c:scaling>
          <c:orientation val="minMax"/>
        </c:scaling>
        <c:delete val="0"/>
        <c:axPos val="r"/>
        <c:title>
          <c:tx>
            <c:rich>
              <a:bodyPr rot="-5400000" vert="horz"/>
              <a:lstStyle/>
              <a:p>
                <a:pPr>
                  <a:defRPr/>
                </a:pPr>
                <a:r>
                  <a:rPr lang="en-US"/>
                  <a:t>Territorial Polity Size (sq. megemeters)</a:t>
                </a:r>
              </a:p>
            </c:rich>
          </c:tx>
          <c:overlay val="0"/>
        </c:title>
        <c:numFmt formatCode="General" sourceLinked="1"/>
        <c:majorTickMark val="out"/>
        <c:minorTickMark val="none"/>
        <c:tickLblPos val="nextTo"/>
        <c:crossAx val="255678720"/>
        <c:crosses val="max"/>
        <c:crossBetween val="between"/>
      </c:valAx>
      <c:catAx>
        <c:axId val="255678720"/>
        <c:scaling>
          <c:orientation val="minMax"/>
        </c:scaling>
        <c:delete val="1"/>
        <c:axPos val="b"/>
        <c:numFmt formatCode="General" sourceLinked="1"/>
        <c:majorTickMark val="out"/>
        <c:minorTickMark val="none"/>
        <c:tickLblPos val="nextTo"/>
        <c:crossAx val="25567680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1"/>
          <c:tx>
            <c:strRef>
              <c:f>indic!$C$1</c:f>
              <c:strCache>
                <c:ptCount val="1"/>
                <c:pt idx="0">
                  <c:v>city</c:v>
                </c:pt>
              </c:strCache>
            </c:strRef>
          </c:tx>
          <c:cat>
            <c:numRef>
              <c:f>indic!$A$2:$A$30</c:f>
              <c:numCache>
                <c:formatCode>General</c:formatCode>
                <c:ptCount val="29"/>
                <c:pt idx="0">
                  <c:v>-400</c:v>
                </c:pt>
                <c:pt idx="1">
                  <c:v>-350</c:v>
                </c:pt>
                <c:pt idx="2">
                  <c:v>-300</c:v>
                </c:pt>
                <c:pt idx="3">
                  <c:v>-250</c:v>
                </c:pt>
                <c:pt idx="4">
                  <c:v>-200</c:v>
                </c:pt>
                <c:pt idx="5">
                  <c:v>-150</c:v>
                </c:pt>
                <c:pt idx="6">
                  <c:v>-100</c:v>
                </c:pt>
                <c:pt idx="7">
                  <c:v>-50</c:v>
                </c:pt>
                <c:pt idx="8">
                  <c:v>0</c:v>
                </c:pt>
                <c:pt idx="9">
                  <c:v>50</c:v>
                </c:pt>
                <c:pt idx="10">
                  <c:v>100</c:v>
                </c:pt>
                <c:pt idx="11">
                  <c:v>150</c:v>
                </c:pt>
                <c:pt idx="12">
                  <c:v>200</c:v>
                </c:pt>
                <c:pt idx="13">
                  <c:v>250</c:v>
                </c:pt>
                <c:pt idx="14">
                  <c:v>300</c:v>
                </c:pt>
                <c:pt idx="15">
                  <c:v>350</c:v>
                </c:pt>
                <c:pt idx="16">
                  <c:v>400</c:v>
                </c:pt>
                <c:pt idx="17">
                  <c:v>450</c:v>
                </c:pt>
                <c:pt idx="18">
                  <c:v>500</c:v>
                </c:pt>
                <c:pt idx="19">
                  <c:v>550</c:v>
                </c:pt>
                <c:pt idx="20">
                  <c:v>600</c:v>
                </c:pt>
                <c:pt idx="21">
                  <c:v>650</c:v>
                </c:pt>
                <c:pt idx="22">
                  <c:v>700</c:v>
                </c:pt>
                <c:pt idx="23">
                  <c:v>750</c:v>
                </c:pt>
                <c:pt idx="24">
                  <c:v>800</c:v>
                </c:pt>
                <c:pt idx="25">
                  <c:v>850</c:v>
                </c:pt>
                <c:pt idx="26">
                  <c:v>900</c:v>
                </c:pt>
                <c:pt idx="27">
                  <c:v>950</c:v>
                </c:pt>
                <c:pt idx="28">
                  <c:v>1000</c:v>
                </c:pt>
              </c:numCache>
            </c:numRef>
          </c:cat>
          <c:val>
            <c:numRef>
              <c:f>indic!$C$2:$C$30</c:f>
              <c:numCache>
                <c:formatCode>General</c:formatCode>
                <c:ptCount val="29"/>
                <c:pt idx="0">
                  <c:v>100</c:v>
                </c:pt>
                <c:pt idx="1">
                  <c:v>250</c:v>
                </c:pt>
                <c:pt idx="2">
                  <c:v>400</c:v>
                </c:pt>
                <c:pt idx="3">
                  <c:v>375</c:v>
                </c:pt>
                <c:pt idx="4">
                  <c:v>350</c:v>
                </c:pt>
                <c:pt idx="5">
                  <c:v>275</c:v>
                </c:pt>
                <c:pt idx="6">
                  <c:v>200</c:v>
                </c:pt>
                <c:pt idx="7">
                  <c:v>150.49504950495049</c:v>
                </c:pt>
                <c:pt idx="8">
                  <c:v>100</c:v>
                </c:pt>
                <c:pt idx="9">
                  <c:v>149.49494949494948</c:v>
                </c:pt>
                <c:pt idx="10">
                  <c:v>200</c:v>
                </c:pt>
                <c:pt idx="11">
                  <c:v>200</c:v>
                </c:pt>
                <c:pt idx="12">
                  <c:v>200</c:v>
                </c:pt>
                <c:pt idx="13">
                  <c:v>200</c:v>
                </c:pt>
                <c:pt idx="14">
                  <c:v>200</c:v>
                </c:pt>
                <c:pt idx="15">
                  <c:v>159.01639344262296</c:v>
                </c:pt>
                <c:pt idx="16">
                  <c:v>100</c:v>
                </c:pt>
                <c:pt idx="17">
                  <c:v>100</c:v>
                </c:pt>
                <c:pt idx="18">
                  <c:v>100</c:v>
                </c:pt>
                <c:pt idx="19">
                  <c:v>150</c:v>
                </c:pt>
                <c:pt idx="20">
                  <c:v>200</c:v>
                </c:pt>
                <c:pt idx="21">
                  <c:v>148.71794871794873</c:v>
                </c:pt>
                <c:pt idx="22">
                  <c:v>200</c:v>
                </c:pt>
                <c:pt idx="23">
                  <c:v>150</c:v>
                </c:pt>
                <c:pt idx="24">
                  <c:v>100</c:v>
                </c:pt>
                <c:pt idx="25">
                  <c:v>100</c:v>
                </c:pt>
                <c:pt idx="26">
                  <c:v>100</c:v>
                </c:pt>
                <c:pt idx="27">
                  <c:v>130</c:v>
                </c:pt>
                <c:pt idx="28">
                  <c:v>190</c:v>
                </c:pt>
              </c:numCache>
            </c:numRef>
          </c:val>
          <c:smooth val="0"/>
          <c:extLst xmlns:c16r2="http://schemas.microsoft.com/office/drawing/2015/06/chart">
            <c:ext xmlns:c16="http://schemas.microsoft.com/office/drawing/2014/chart" uri="{C3380CC4-5D6E-409C-BE32-E72D297353CC}">
              <c16:uniqueId val="{00000000-8818-4419-AB67-0DD1C35177CA}"/>
            </c:ext>
          </c:extLst>
        </c:ser>
        <c:dLbls>
          <c:showLegendKey val="0"/>
          <c:showVal val="0"/>
          <c:showCatName val="0"/>
          <c:showSerName val="0"/>
          <c:showPercent val="0"/>
          <c:showBubbleSize val="0"/>
        </c:dLbls>
        <c:marker val="1"/>
        <c:smooth val="0"/>
        <c:axId val="267139328"/>
        <c:axId val="267723136"/>
      </c:lineChart>
      <c:lineChart>
        <c:grouping val="standard"/>
        <c:varyColors val="0"/>
        <c:ser>
          <c:idx val="1"/>
          <c:order val="0"/>
          <c:tx>
            <c:strRef>
              <c:f>indic!$B$1</c:f>
              <c:strCache>
                <c:ptCount val="1"/>
                <c:pt idx="0">
                  <c:v>Indic Power Configuration</c:v>
                </c:pt>
              </c:strCache>
            </c:strRef>
          </c:tx>
          <c:cat>
            <c:numRef>
              <c:f>indic!$A$2:$A$30</c:f>
              <c:numCache>
                <c:formatCode>General</c:formatCode>
                <c:ptCount val="29"/>
                <c:pt idx="0">
                  <c:v>-400</c:v>
                </c:pt>
                <c:pt idx="1">
                  <c:v>-350</c:v>
                </c:pt>
                <c:pt idx="2">
                  <c:v>-300</c:v>
                </c:pt>
                <c:pt idx="3">
                  <c:v>-250</c:v>
                </c:pt>
                <c:pt idx="4">
                  <c:v>-200</c:v>
                </c:pt>
                <c:pt idx="5">
                  <c:v>-150</c:v>
                </c:pt>
                <c:pt idx="6">
                  <c:v>-100</c:v>
                </c:pt>
                <c:pt idx="7">
                  <c:v>-50</c:v>
                </c:pt>
                <c:pt idx="8">
                  <c:v>0</c:v>
                </c:pt>
                <c:pt idx="9">
                  <c:v>50</c:v>
                </c:pt>
                <c:pt idx="10">
                  <c:v>100</c:v>
                </c:pt>
                <c:pt idx="11">
                  <c:v>150</c:v>
                </c:pt>
                <c:pt idx="12">
                  <c:v>200</c:v>
                </c:pt>
                <c:pt idx="13">
                  <c:v>250</c:v>
                </c:pt>
                <c:pt idx="14">
                  <c:v>300</c:v>
                </c:pt>
                <c:pt idx="15">
                  <c:v>350</c:v>
                </c:pt>
                <c:pt idx="16">
                  <c:v>400</c:v>
                </c:pt>
                <c:pt idx="17">
                  <c:v>450</c:v>
                </c:pt>
                <c:pt idx="18">
                  <c:v>500</c:v>
                </c:pt>
                <c:pt idx="19">
                  <c:v>550</c:v>
                </c:pt>
                <c:pt idx="20">
                  <c:v>600</c:v>
                </c:pt>
                <c:pt idx="21">
                  <c:v>650</c:v>
                </c:pt>
                <c:pt idx="22">
                  <c:v>700</c:v>
                </c:pt>
                <c:pt idx="23">
                  <c:v>750</c:v>
                </c:pt>
                <c:pt idx="24">
                  <c:v>800</c:v>
                </c:pt>
                <c:pt idx="25">
                  <c:v>850</c:v>
                </c:pt>
                <c:pt idx="26">
                  <c:v>900</c:v>
                </c:pt>
                <c:pt idx="27">
                  <c:v>950</c:v>
                </c:pt>
                <c:pt idx="28">
                  <c:v>1000</c:v>
                </c:pt>
              </c:numCache>
            </c:numRef>
          </c:cat>
          <c:val>
            <c:numRef>
              <c:f>indic!$B$2:$B$30</c:f>
              <c:numCache>
                <c:formatCode>General</c:formatCode>
                <c:ptCount val="29"/>
                <c:pt idx="0">
                  <c:v>5</c:v>
                </c:pt>
                <c:pt idx="1">
                  <c:v>5</c:v>
                </c:pt>
                <c:pt idx="2">
                  <c:v>4</c:v>
                </c:pt>
                <c:pt idx="3">
                  <c:v>6</c:v>
                </c:pt>
                <c:pt idx="4">
                  <c:v>4</c:v>
                </c:pt>
                <c:pt idx="5">
                  <c:v>4</c:v>
                </c:pt>
                <c:pt idx="6">
                  <c:v>0</c:v>
                </c:pt>
                <c:pt idx="7">
                  <c:v>4</c:v>
                </c:pt>
                <c:pt idx="8">
                  <c:v>3</c:v>
                </c:pt>
                <c:pt idx="9">
                  <c:v>4</c:v>
                </c:pt>
                <c:pt idx="10">
                  <c:v>4</c:v>
                </c:pt>
                <c:pt idx="11">
                  <c:v>2</c:v>
                </c:pt>
                <c:pt idx="12">
                  <c:v>3</c:v>
                </c:pt>
                <c:pt idx="13">
                  <c:v>0</c:v>
                </c:pt>
                <c:pt idx="14">
                  <c:v>4</c:v>
                </c:pt>
                <c:pt idx="15">
                  <c:v>5</c:v>
                </c:pt>
                <c:pt idx="16">
                  <c:v>5</c:v>
                </c:pt>
                <c:pt idx="17">
                  <c:v>5</c:v>
                </c:pt>
                <c:pt idx="18">
                  <c:v>3</c:v>
                </c:pt>
                <c:pt idx="19">
                  <c:v>0</c:v>
                </c:pt>
                <c:pt idx="20">
                  <c:v>3</c:v>
                </c:pt>
                <c:pt idx="21">
                  <c:v>3</c:v>
                </c:pt>
                <c:pt idx="22">
                  <c:v>4</c:v>
                </c:pt>
                <c:pt idx="23">
                  <c:v>3</c:v>
                </c:pt>
                <c:pt idx="24">
                  <c:v>4</c:v>
                </c:pt>
                <c:pt idx="25">
                  <c:v>3</c:v>
                </c:pt>
                <c:pt idx="26">
                  <c:v>2</c:v>
                </c:pt>
                <c:pt idx="27">
                  <c:v>4</c:v>
                </c:pt>
                <c:pt idx="28">
                  <c:v>2</c:v>
                </c:pt>
              </c:numCache>
            </c:numRef>
          </c:val>
          <c:smooth val="0"/>
          <c:extLst xmlns:c16r2="http://schemas.microsoft.com/office/drawing/2015/06/chart">
            <c:ext xmlns:c16="http://schemas.microsoft.com/office/drawing/2014/chart" uri="{C3380CC4-5D6E-409C-BE32-E72D297353CC}">
              <c16:uniqueId val="{00000001-8818-4419-AB67-0DD1C35177CA}"/>
            </c:ext>
          </c:extLst>
        </c:ser>
        <c:ser>
          <c:idx val="3"/>
          <c:order val="2"/>
          <c:tx>
            <c:strRef>
              <c:f>indic!$D$1</c:f>
              <c:strCache>
                <c:ptCount val="1"/>
                <c:pt idx="0">
                  <c:v>state</c:v>
                </c:pt>
              </c:strCache>
            </c:strRef>
          </c:tx>
          <c:marker>
            <c:symbol val="circle"/>
            <c:size val="7"/>
          </c:marker>
          <c:cat>
            <c:numRef>
              <c:f>indic!$A$2:$A$30</c:f>
              <c:numCache>
                <c:formatCode>General</c:formatCode>
                <c:ptCount val="29"/>
                <c:pt idx="0">
                  <c:v>-400</c:v>
                </c:pt>
                <c:pt idx="1">
                  <c:v>-350</c:v>
                </c:pt>
                <c:pt idx="2">
                  <c:v>-300</c:v>
                </c:pt>
                <c:pt idx="3">
                  <c:v>-250</c:v>
                </c:pt>
                <c:pt idx="4">
                  <c:v>-200</c:v>
                </c:pt>
                <c:pt idx="5">
                  <c:v>-150</c:v>
                </c:pt>
                <c:pt idx="6">
                  <c:v>-100</c:v>
                </c:pt>
                <c:pt idx="7">
                  <c:v>-50</c:v>
                </c:pt>
                <c:pt idx="8">
                  <c:v>0</c:v>
                </c:pt>
                <c:pt idx="9">
                  <c:v>50</c:v>
                </c:pt>
                <c:pt idx="10">
                  <c:v>100</c:v>
                </c:pt>
                <c:pt idx="11">
                  <c:v>150</c:v>
                </c:pt>
                <c:pt idx="12">
                  <c:v>200</c:v>
                </c:pt>
                <c:pt idx="13">
                  <c:v>250</c:v>
                </c:pt>
                <c:pt idx="14">
                  <c:v>300</c:v>
                </c:pt>
                <c:pt idx="15">
                  <c:v>350</c:v>
                </c:pt>
                <c:pt idx="16">
                  <c:v>400</c:v>
                </c:pt>
                <c:pt idx="17">
                  <c:v>450</c:v>
                </c:pt>
                <c:pt idx="18">
                  <c:v>500</c:v>
                </c:pt>
                <c:pt idx="19">
                  <c:v>550</c:v>
                </c:pt>
                <c:pt idx="20">
                  <c:v>600</c:v>
                </c:pt>
                <c:pt idx="21">
                  <c:v>650</c:v>
                </c:pt>
                <c:pt idx="22">
                  <c:v>700</c:v>
                </c:pt>
                <c:pt idx="23">
                  <c:v>750</c:v>
                </c:pt>
                <c:pt idx="24">
                  <c:v>800</c:v>
                </c:pt>
                <c:pt idx="25">
                  <c:v>850</c:v>
                </c:pt>
                <c:pt idx="26">
                  <c:v>900</c:v>
                </c:pt>
                <c:pt idx="27">
                  <c:v>950</c:v>
                </c:pt>
                <c:pt idx="28">
                  <c:v>1000</c:v>
                </c:pt>
              </c:numCache>
            </c:numRef>
          </c:cat>
          <c:val>
            <c:numRef>
              <c:f>indic!$D$2:$D$30</c:f>
              <c:numCache>
                <c:formatCode>General</c:formatCode>
                <c:ptCount val="29"/>
                <c:pt idx="0">
                  <c:v>0.8</c:v>
                </c:pt>
                <c:pt idx="1">
                  <c:v>1</c:v>
                </c:pt>
                <c:pt idx="2">
                  <c:v>3.35</c:v>
                </c:pt>
                <c:pt idx="3">
                  <c:v>5</c:v>
                </c:pt>
                <c:pt idx="4">
                  <c:v>1.8</c:v>
                </c:pt>
                <c:pt idx="5">
                  <c:v>1.1000000000000001</c:v>
                </c:pt>
                <c:pt idx="6">
                  <c:v>1.9</c:v>
                </c:pt>
                <c:pt idx="7">
                  <c:v>2</c:v>
                </c:pt>
                <c:pt idx="8">
                  <c:v>2.6</c:v>
                </c:pt>
                <c:pt idx="9">
                  <c:v>2</c:v>
                </c:pt>
                <c:pt idx="10">
                  <c:v>2</c:v>
                </c:pt>
                <c:pt idx="11">
                  <c:v>2.25</c:v>
                </c:pt>
                <c:pt idx="12">
                  <c:v>2.5</c:v>
                </c:pt>
                <c:pt idx="13">
                  <c:v>1.3</c:v>
                </c:pt>
                <c:pt idx="14">
                  <c:v>0.92399999999999971</c:v>
                </c:pt>
                <c:pt idx="15">
                  <c:v>0.6</c:v>
                </c:pt>
                <c:pt idx="16">
                  <c:v>3.5</c:v>
                </c:pt>
                <c:pt idx="17">
                  <c:v>3.2</c:v>
                </c:pt>
                <c:pt idx="18">
                  <c:v>4</c:v>
                </c:pt>
                <c:pt idx="19">
                  <c:v>1</c:v>
                </c:pt>
                <c:pt idx="20">
                  <c:v>0.05</c:v>
                </c:pt>
                <c:pt idx="21">
                  <c:v>1</c:v>
                </c:pt>
                <c:pt idx="22">
                  <c:v>0.85602409638554133</c:v>
                </c:pt>
                <c:pt idx="23">
                  <c:v>1.1299999999999999</c:v>
                </c:pt>
                <c:pt idx="24">
                  <c:v>0.64744186046511631</c:v>
                </c:pt>
                <c:pt idx="25">
                  <c:v>0.70833333333333326</c:v>
                </c:pt>
                <c:pt idx="26">
                  <c:v>0.55000000000000004</c:v>
                </c:pt>
                <c:pt idx="27">
                  <c:v>1.55</c:v>
                </c:pt>
                <c:pt idx="28">
                  <c:v>1.25</c:v>
                </c:pt>
              </c:numCache>
            </c:numRef>
          </c:val>
          <c:smooth val="0"/>
          <c:extLst xmlns:c16r2="http://schemas.microsoft.com/office/drawing/2015/06/chart">
            <c:ext xmlns:c16="http://schemas.microsoft.com/office/drawing/2014/chart" uri="{C3380CC4-5D6E-409C-BE32-E72D297353CC}">
              <c16:uniqueId val="{00000002-8818-4419-AB67-0DD1C35177CA}"/>
            </c:ext>
          </c:extLst>
        </c:ser>
        <c:dLbls>
          <c:showLegendKey val="0"/>
          <c:showVal val="0"/>
          <c:showCatName val="0"/>
          <c:showSerName val="0"/>
          <c:showPercent val="0"/>
          <c:showBubbleSize val="0"/>
        </c:dLbls>
        <c:marker val="1"/>
        <c:smooth val="0"/>
        <c:axId val="271860096"/>
        <c:axId val="267725056"/>
      </c:lineChart>
      <c:catAx>
        <c:axId val="26713932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67723136"/>
        <c:crosses val="autoZero"/>
        <c:auto val="1"/>
        <c:lblAlgn val="ctr"/>
        <c:lblOffset val="100"/>
        <c:noMultiLvlLbl val="0"/>
      </c:catAx>
      <c:valAx>
        <c:axId val="267723136"/>
        <c:scaling>
          <c:orientation val="minMax"/>
        </c:scaling>
        <c:delete val="0"/>
        <c:axPos val="l"/>
        <c:majorGridlines/>
        <c:title>
          <c:tx>
            <c:rich>
              <a:bodyPr rot="0" vert="wordArtVert"/>
              <a:lstStyle/>
              <a:p>
                <a:pPr>
                  <a:defRPr/>
                </a:pPr>
                <a:r>
                  <a:rPr lang="en-US"/>
                  <a:t>City Population (thousands)</a:t>
                </a:r>
              </a:p>
            </c:rich>
          </c:tx>
          <c:overlay val="0"/>
        </c:title>
        <c:numFmt formatCode="General" sourceLinked="1"/>
        <c:majorTickMark val="out"/>
        <c:minorTickMark val="none"/>
        <c:tickLblPos val="nextTo"/>
        <c:crossAx val="267139328"/>
        <c:crosses val="autoZero"/>
        <c:crossBetween val="between"/>
      </c:valAx>
      <c:valAx>
        <c:axId val="267725056"/>
        <c:scaling>
          <c:orientation val="minMax"/>
        </c:scaling>
        <c:delete val="0"/>
        <c:axPos val="r"/>
        <c:title>
          <c:tx>
            <c:rich>
              <a:bodyPr rot="-5400000" vert="horz"/>
              <a:lstStyle/>
              <a:p>
                <a:pPr>
                  <a:defRPr/>
                </a:pPr>
                <a:r>
                  <a:rPr lang="en-US"/>
                  <a:t>Territorial Size of largest Polity (sq. megameter)</a:t>
                </a:r>
              </a:p>
            </c:rich>
          </c:tx>
          <c:overlay val="0"/>
        </c:title>
        <c:numFmt formatCode="General" sourceLinked="1"/>
        <c:majorTickMark val="out"/>
        <c:minorTickMark val="none"/>
        <c:tickLblPos val="nextTo"/>
        <c:crossAx val="271860096"/>
        <c:crosses val="max"/>
        <c:crossBetween val="between"/>
      </c:valAx>
      <c:catAx>
        <c:axId val="271860096"/>
        <c:scaling>
          <c:orientation val="minMax"/>
        </c:scaling>
        <c:delete val="1"/>
        <c:axPos val="b"/>
        <c:numFmt formatCode="General" sourceLinked="1"/>
        <c:majorTickMark val="out"/>
        <c:minorTickMark val="none"/>
        <c:tickLblPos val="nextTo"/>
        <c:crossAx val="26772505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1"/>
          <c:tx>
            <c:strRef>
              <c:f>'East Asian'!$C$1</c:f>
              <c:strCache>
                <c:ptCount val="1"/>
                <c:pt idx="0">
                  <c:v>city</c:v>
                </c:pt>
              </c:strCache>
            </c:strRef>
          </c:tx>
          <c:cat>
            <c:numRef>
              <c:f>'East Asian'!$A$2:$A$58</c:f>
              <c:numCache>
                <c:formatCode>General</c:formatCode>
                <c:ptCount val="57"/>
                <c:pt idx="0">
                  <c:v>-1000</c:v>
                </c:pt>
                <c:pt idx="1">
                  <c:v>-950</c:v>
                </c:pt>
                <c:pt idx="2">
                  <c:v>-900</c:v>
                </c:pt>
                <c:pt idx="3">
                  <c:v>-850</c:v>
                </c:pt>
                <c:pt idx="4">
                  <c:v>-800</c:v>
                </c:pt>
                <c:pt idx="5">
                  <c:v>-750</c:v>
                </c:pt>
                <c:pt idx="6">
                  <c:v>-700</c:v>
                </c:pt>
                <c:pt idx="7">
                  <c:v>-650</c:v>
                </c:pt>
                <c:pt idx="8">
                  <c:v>-600</c:v>
                </c:pt>
                <c:pt idx="9">
                  <c:v>-550</c:v>
                </c:pt>
                <c:pt idx="10">
                  <c:v>-500</c:v>
                </c:pt>
                <c:pt idx="11">
                  <c:v>-450</c:v>
                </c:pt>
                <c:pt idx="12">
                  <c:v>-400</c:v>
                </c:pt>
                <c:pt idx="13">
                  <c:v>-350</c:v>
                </c:pt>
                <c:pt idx="14">
                  <c:v>-300</c:v>
                </c:pt>
                <c:pt idx="15">
                  <c:v>-250</c:v>
                </c:pt>
                <c:pt idx="16">
                  <c:v>-200</c:v>
                </c:pt>
                <c:pt idx="17">
                  <c:v>-150</c:v>
                </c:pt>
                <c:pt idx="18">
                  <c:v>-100</c:v>
                </c:pt>
                <c:pt idx="19">
                  <c:v>-50</c:v>
                </c:pt>
                <c:pt idx="20">
                  <c:v>0</c:v>
                </c:pt>
                <c:pt idx="21">
                  <c:v>50</c:v>
                </c:pt>
                <c:pt idx="22">
                  <c:v>100</c:v>
                </c:pt>
                <c:pt idx="23">
                  <c:v>150</c:v>
                </c:pt>
                <c:pt idx="24">
                  <c:v>200</c:v>
                </c:pt>
                <c:pt idx="25">
                  <c:v>250</c:v>
                </c:pt>
                <c:pt idx="26">
                  <c:v>300</c:v>
                </c:pt>
                <c:pt idx="27">
                  <c:v>350</c:v>
                </c:pt>
                <c:pt idx="28">
                  <c:v>400</c:v>
                </c:pt>
                <c:pt idx="29">
                  <c:v>450</c:v>
                </c:pt>
                <c:pt idx="30">
                  <c:v>500</c:v>
                </c:pt>
                <c:pt idx="31">
                  <c:v>550</c:v>
                </c:pt>
                <c:pt idx="32">
                  <c:v>600</c:v>
                </c:pt>
                <c:pt idx="33">
                  <c:v>650</c:v>
                </c:pt>
                <c:pt idx="34">
                  <c:v>700</c:v>
                </c:pt>
                <c:pt idx="35">
                  <c:v>750</c:v>
                </c:pt>
                <c:pt idx="36">
                  <c:v>800</c:v>
                </c:pt>
                <c:pt idx="37">
                  <c:v>850</c:v>
                </c:pt>
                <c:pt idx="38">
                  <c:v>900</c:v>
                </c:pt>
                <c:pt idx="39">
                  <c:v>950</c:v>
                </c:pt>
                <c:pt idx="40">
                  <c:v>1000</c:v>
                </c:pt>
                <c:pt idx="41">
                  <c:v>1050</c:v>
                </c:pt>
                <c:pt idx="42">
                  <c:v>1100</c:v>
                </c:pt>
                <c:pt idx="43">
                  <c:v>1150</c:v>
                </c:pt>
                <c:pt idx="44">
                  <c:v>1200</c:v>
                </c:pt>
                <c:pt idx="45">
                  <c:v>1250</c:v>
                </c:pt>
                <c:pt idx="46">
                  <c:v>1300</c:v>
                </c:pt>
                <c:pt idx="47">
                  <c:v>1350</c:v>
                </c:pt>
                <c:pt idx="48">
                  <c:v>1400</c:v>
                </c:pt>
                <c:pt idx="49">
                  <c:v>1450</c:v>
                </c:pt>
                <c:pt idx="50">
                  <c:v>1500</c:v>
                </c:pt>
                <c:pt idx="51">
                  <c:v>1550</c:v>
                </c:pt>
                <c:pt idx="52">
                  <c:v>1600</c:v>
                </c:pt>
                <c:pt idx="53">
                  <c:v>1650</c:v>
                </c:pt>
                <c:pt idx="54">
                  <c:v>1700</c:v>
                </c:pt>
                <c:pt idx="55">
                  <c:v>1750</c:v>
                </c:pt>
                <c:pt idx="56">
                  <c:v>1800</c:v>
                </c:pt>
              </c:numCache>
            </c:numRef>
          </c:cat>
          <c:val>
            <c:numRef>
              <c:f>'East Asian'!$C$2:$C$58</c:f>
              <c:numCache>
                <c:formatCode>General</c:formatCode>
                <c:ptCount val="57"/>
                <c:pt idx="0">
                  <c:v>100</c:v>
                </c:pt>
                <c:pt idx="1">
                  <c:v>112.5</c:v>
                </c:pt>
                <c:pt idx="2">
                  <c:v>125</c:v>
                </c:pt>
                <c:pt idx="3">
                  <c:v>125</c:v>
                </c:pt>
                <c:pt idx="4">
                  <c:v>125</c:v>
                </c:pt>
                <c:pt idx="5">
                  <c:v>112.5</c:v>
                </c:pt>
                <c:pt idx="6">
                  <c:v>100</c:v>
                </c:pt>
                <c:pt idx="7">
                  <c:v>80</c:v>
                </c:pt>
                <c:pt idx="8">
                  <c:v>200</c:v>
                </c:pt>
                <c:pt idx="9">
                  <c:v>200</c:v>
                </c:pt>
                <c:pt idx="10">
                  <c:v>200</c:v>
                </c:pt>
                <c:pt idx="11">
                  <c:v>185.71428571428572</c:v>
                </c:pt>
                <c:pt idx="12">
                  <c:v>320</c:v>
                </c:pt>
                <c:pt idx="13">
                  <c:v>335</c:v>
                </c:pt>
                <c:pt idx="14">
                  <c:v>350</c:v>
                </c:pt>
                <c:pt idx="15">
                  <c:v>300</c:v>
                </c:pt>
                <c:pt idx="16">
                  <c:v>250</c:v>
                </c:pt>
                <c:pt idx="17">
                  <c:v>325</c:v>
                </c:pt>
                <c:pt idx="18">
                  <c:v>400</c:v>
                </c:pt>
                <c:pt idx="19">
                  <c:v>449.50495049504951</c:v>
                </c:pt>
                <c:pt idx="20">
                  <c:v>500</c:v>
                </c:pt>
                <c:pt idx="21">
                  <c:v>460.40404040404042</c:v>
                </c:pt>
                <c:pt idx="22">
                  <c:v>420</c:v>
                </c:pt>
                <c:pt idx="23">
                  <c:v>313.5714285714285</c:v>
                </c:pt>
                <c:pt idx="24">
                  <c:v>207.142857142857</c:v>
                </c:pt>
                <c:pt idx="25">
                  <c:v>228.5714285714285</c:v>
                </c:pt>
                <c:pt idx="26">
                  <c:v>250</c:v>
                </c:pt>
                <c:pt idx="27">
                  <c:v>168.03278688524591</c:v>
                </c:pt>
                <c:pt idx="28">
                  <c:v>300</c:v>
                </c:pt>
                <c:pt idx="29">
                  <c:v>400</c:v>
                </c:pt>
                <c:pt idx="30">
                  <c:v>500</c:v>
                </c:pt>
                <c:pt idx="31">
                  <c:v>550</c:v>
                </c:pt>
                <c:pt idx="32">
                  <c:v>600</c:v>
                </c:pt>
                <c:pt idx="33">
                  <c:v>615.38461538461536</c:v>
                </c:pt>
                <c:pt idx="34">
                  <c:v>1000</c:v>
                </c:pt>
                <c:pt idx="35">
                  <c:v>1000</c:v>
                </c:pt>
                <c:pt idx="36">
                  <c:v>1000</c:v>
                </c:pt>
                <c:pt idx="37">
                  <c:v>875</c:v>
                </c:pt>
                <c:pt idx="38">
                  <c:v>750</c:v>
                </c:pt>
                <c:pt idx="39">
                  <c:v>875</c:v>
                </c:pt>
                <c:pt idx="40">
                  <c:v>1000</c:v>
                </c:pt>
                <c:pt idx="41">
                  <c:v>1000</c:v>
                </c:pt>
                <c:pt idx="42">
                  <c:v>1000</c:v>
                </c:pt>
                <c:pt idx="43">
                  <c:v>145</c:v>
                </c:pt>
                <c:pt idx="44">
                  <c:v>1000</c:v>
                </c:pt>
                <c:pt idx="45">
                  <c:v>900</c:v>
                </c:pt>
                <c:pt idx="46">
                  <c:v>800</c:v>
                </c:pt>
                <c:pt idx="47">
                  <c:v>432</c:v>
                </c:pt>
                <c:pt idx="48">
                  <c:v>1050</c:v>
                </c:pt>
                <c:pt idx="49">
                  <c:v>600</c:v>
                </c:pt>
                <c:pt idx="50">
                  <c:v>750</c:v>
                </c:pt>
                <c:pt idx="51">
                  <c:v>690</c:v>
                </c:pt>
                <c:pt idx="52">
                  <c:v>1000</c:v>
                </c:pt>
                <c:pt idx="53">
                  <c:v>500</c:v>
                </c:pt>
                <c:pt idx="54">
                  <c:v>688</c:v>
                </c:pt>
                <c:pt idx="55">
                  <c:v>900</c:v>
                </c:pt>
                <c:pt idx="56">
                  <c:v>1100</c:v>
                </c:pt>
              </c:numCache>
            </c:numRef>
          </c:val>
          <c:smooth val="0"/>
          <c:extLst xmlns:c16r2="http://schemas.microsoft.com/office/drawing/2015/06/chart">
            <c:ext xmlns:c16="http://schemas.microsoft.com/office/drawing/2014/chart" uri="{C3380CC4-5D6E-409C-BE32-E72D297353CC}">
              <c16:uniqueId val="{00000000-1AE7-4BA2-99ED-A669DCCC4CBD}"/>
            </c:ext>
          </c:extLst>
        </c:ser>
        <c:dLbls>
          <c:showLegendKey val="0"/>
          <c:showVal val="0"/>
          <c:showCatName val="0"/>
          <c:showSerName val="0"/>
          <c:showPercent val="0"/>
          <c:showBubbleSize val="0"/>
        </c:dLbls>
        <c:marker val="1"/>
        <c:smooth val="0"/>
        <c:axId val="272396672"/>
        <c:axId val="272398592"/>
      </c:lineChart>
      <c:lineChart>
        <c:grouping val="standard"/>
        <c:varyColors val="0"/>
        <c:ser>
          <c:idx val="1"/>
          <c:order val="0"/>
          <c:tx>
            <c:strRef>
              <c:f>'East Asian'!$B$1</c:f>
              <c:strCache>
                <c:ptCount val="1"/>
                <c:pt idx="0">
                  <c:v>POWER CONFIGURATION</c:v>
                </c:pt>
              </c:strCache>
            </c:strRef>
          </c:tx>
          <c:cat>
            <c:numRef>
              <c:f>'East Asian'!$A$2:$A$58</c:f>
              <c:numCache>
                <c:formatCode>General</c:formatCode>
                <c:ptCount val="57"/>
                <c:pt idx="0">
                  <c:v>-1000</c:v>
                </c:pt>
                <c:pt idx="1">
                  <c:v>-950</c:v>
                </c:pt>
                <c:pt idx="2">
                  <c:v>-900</c:v>
                </c:pt>
                <c:pt idx="3">
                  <c:v>-850</c:v>
                </c:pt>
                <c:pt idx="4">
                  <c:v>-800</c:v>
                </c:pt>
                <c:pt idx="5">
                  <c:v>-750</c:v>
                </c:pt>
                <c:pt idx="6">
                  <c:v>-700</c:v>
                </c:pt>
                <c:pt idx="7">
                  <c:v>-650</c:v>
                </c:pt>
                <c:pt idx="8">
                  <c:v>-600</c:v>
                </c:pt>
                <c:pt idx="9">
                  <c:v>-550</c:v>
                </c:pt>
                <c:pt idx="10">
                  <c:v>-500</c:v>
                </c:pt>
                <c:pt idx="11">
                  <c:v>-450</c:v>
                </c:pt>
                <c:pt idx="12">
                  <c:v>-400</c:v>
                </c:pt>
                <c:pt idx="13">
                  <c:v>-350</c:v>
                </c:pt>
                <c:pt idx="14">
                  <c:v>-300</c:v>
                </c:pt>
                <c:pt idx="15">
                  <c:v>-250</c:v>
                </c:pt>
                <c:pt idx="16">
                  <c:v>-200</c:v>
                </c:pt>
                <c:pt idx="17">
                  <c:v>-150</c:v>
                </c:pt>
                <c:pt idx="18">
                  <c:v>-100</c:v>
                </c:pt>
                <c:pt idx="19">
                  <c:v>-50</c:v>
                </c:pt>
                <c:pt idx="20">
                  <c:v>0</c:v>
                </c:pt>
                <c:pt idx="21">
                  <c:v>50</c:v>
                </c:pt>
                <c:pt idx="22">
                  <c:v>100</c:v>
                </c:pt>
                <c:pt idx="23">
                  <c:v>150</c:v>
                </c:pt>
                <c:pt idx="24">
                  <c:v>200</c:v>
                </c:pt>
                <c:pt idx="25">
                  <c:v>250</c:v>
                </c:pt>
                <c:pt idx="26">
                  <c:v>300</c:v>
                </c:pt>
                <c:pt idx="27">
                  <c:v>350</c:v>
                </c:pt>
                <c:pt idx="28">
                  <c:v>400</c:v>
                </c:pt>
                <c:pt idx="29">
                  <c:v>450</c:v>
                </c:pt>
                <c:pt idx="30">
                  <c:v>500</c:v>
                </c:pt>
                <c:pt idx="31">
                  <c:v>550</c:v>
                </c:pt>
                <c:pt idx="32">
                  <c:v>600</c:v>
                </c:pt>
                <c:pt idx="33">
                  <c:v>650</c:v>
                </c:pt>
                <c:pt idx="34">
                  <c:v>700</c:v>
                </c:pt>
                <c:pt idx="35">
                  <c:v>750</c:v>
                </c:pt>
                <c:pt idx="36">
                  <c:v>800</c:v>
                </c:pt>
                <c:pt idx="37">
                  <c:v>850</c:v>
                </c:pt>
                <c:pt idx="38">
                  <c:v>900</c:v>
                </c:pt>
                <c:pt idx="39">
                  <c:v>950</c:v>
                </c:pt>
                <c:pt idx="40">
                  <c:v>1000</c:v>
                </c:pt>
                <c:pt idx="41">
                  <c:v>1050</c:v>
                </c:pt>
                <c:pt idx="42">
                  <c:v>1100</c:v>
                </c:pt>
                <c:pt idx="43">
                  <c:v>1150</c:v>
                </c:pt>
                <c:pt idx="44">
                  <c:v>1200</c:v>
                </c:pt>
                <c:pt idx="45">
                  <c:v>1250</c:v>
                </c:pt>
                <c:pt idx="46">
                  <c:v>1300</c:v>
                </c:pt>
                <c:pt idx="47">
                  <c:v>1350</c:v>
                </c:pt>
                <c:pt idx="48">
                  <c:v>1400</c:v>
                </c:pt>
                <c:pt idx="49">
                  <c:v>1450</c:v>
                </c:pt>
                <c:pt idx="50">
                  <c:v>1500</c:v>
                </c:pt>
                <c:pt idx="51">
                  <c:v>1550</c:v>
                </c:pt>
                <c:pt idx="52">
                  <c:v>1600</c:v>
                </c:pt>
                <c:pt idx="53">
                  <c:v>1650</c:v>
                </c:pt>
                <c:pt idx="54">
                  <c:v>1700</c:v>
                </c:pt>
                <c:pt idx="55">
                  <c:v>1750</c:v>
                </c:pt>
                <c:pt idx="56">
                  <c:v>1800</c:v>
                </c:pt>
              </c:numCache>
            </c:numRef>
          </c:cat>
          <c:val>
            <c:numRef>
              <c:f>'East Asian'!$B$2:$B$58</c:f>
              <c:numCache>
                <c:formatCode>General</c:formatCode>
                <c:ptCount val="57"/>
                <c:pt idx="0">
                  <c:v>5</c:v>
                </c:pt>
                <c:pt idx="1">
                  <c:v>5</c:v>
                </c:pt>
                <c:pt idx="2">
                  <c:v>5</c:v>
                </c:pt>
                <c:pt idx="3">
                  <c:v>5</c:v>
                </c:pt>
                <c:pt idx="4">
                  <c:v>4</c:v>
                </c:pt>
                <c:pt idx="5">
                  <c:v>0</c:v>
                </c:pt>
                <c:pt idx="6">
                  <c:v>1</c:v>
                </c:pt>
                <c:pt idx="7">
                  <c:v>3</c:v>
                </c:pt>
                <c:pt idx="8">
                  <c:v>1</c:v>
                </c:pt>
                <c:pt idx="9">
                  <c:v>3</c:v>
                </c:pt>
                <c:pt idx="10">
                  <c:v>1</c:v>
                </c:pt>
                <c:pt idx="11">
                  <c:v>2</c:v>
                </c:pt>
                <c:pt idx="12">
                  <c:v>1</c:v>
                </c:pt>
                <c:pt idx="13">
                  <c:v>1</c:v>
                </c:pt>
                <c:pt idx="14">
                  <c:v>2</c:v>
                </c:pt>
                <c:pt idx="15">
                  <c:v>4</c:v>
                </c:pt>
                <c:pt idx="16">
                  <c:v>3</c:v>
                </c:pt>
                <c:pt idx="17">
                  <c:v>3</c:v>
                </c:pt>
                <c:pt idx="18">
                  <c:v>6</c:v>
                </c:pt>
                <c:pt idx="19">
                  <c:v>6</c:v>
                </c:pt>
                <c:pt idx="20">
                  <c:v>6</c:v>
                </c:pt>
                <c:pt idx="21">
                  <c:v>4</c:v>
                </c:pt>
                <c:pt idx="22">
                  <c:v>6</c:v>
                </c:pt>
                <c:pt idx="23">
                  <c:v>6</c:v>
                </c:pt>
                <c:pt idx="24">
                  <c:v>1</c:v>
                </c:pt>
                <c:pt idx="25">
                  <c:v>4</c:v>
                </c:pt>
                <c:pt idx="26">
                  <c:v>4</c:v>
                </c:pt>
                <c:pt idx="27">
                  <c:v>1</c:v>
                </c:pt>
                <c:pt idx="28">
                  <c:v>1</c:v>
                </c:pt>
                <c:pt idx="29">
                  <c:v>1</c:v>
                </c:pt>
                <c:pt idx="30">
                  <c:v>1</c:v>
                </c:pt>
                <c:pt idx="31">
                  <c:v>2</c:v>
                </c:pt>
                <c:pt idx="32">
                  <c:v>4</c:v>
                </c:pt>
                <c:pt idx="33">
                  <c:v>4</c:v>
                </c:pt>
                <c:pt idx="34">
                  <c:v>2</c:v>
                </c:pt>
                <c:pt idx="35">
                  <c:v>6</c:v>
                </c:pt>
                <c:pt idx="36">
                  <c:v>2</c:v>
                </c:pt>
                <c:pt idx="37">
                  <c:v>4</c:v>
                </c:pt>
                <c:pt idx="38">
                  <c:v>0</c:v>
                </c:pt>
                <c:pt idx="39">
                  <c:v>1</c:v>
                </c:pt>
                <c:pt idx="40">
                  <c:v>2</c:v>
                </c:pt>
                <c:pt idx="41">
                  <c:v>1</c:v>
                </c:pt>
                <c:pt idx="42">
                  <c:v>1</c:v>
                </c:pt>
                <c:pt idx="43">
                  <c:v>1</c:v>
                </c:pt>
                <c:pt idx="44">
                  <c:v>1</c:v>
                </c:pt>
                <c:pt idx="45">
                  <c:v>3</c:v>
                </c:pt>
                <c:pt idx="46">
                  <c:v>6</c:v>
                </c:pt>
                <c:pt idx="47">
                  <c:v>6</c:v>
                </c:pt>
                <c:pt idx="48">
                  <c:v>4</c:v>
                </c:pt>
                <c:pt idx="49">
                  <c:v>3</c:v>
                </c:pt>
                <c:pt idx="50">
                  <c:v>4</c:v>
                </c:pt>
                <c:pt idx="51">
                  <c:v>4</c:v>
                </c:pt>
                <c:pt idx="52">
                  <c:v>4</c:v>
                </c:pt>
                <c:pt idx="53">
                  <c:v>4</c:v>
                </c:pt>
                <c:pt idx="54">
                  <c:v>6</c:v>
                </c:pt>
                <c:pt idx="55">
                  <c:v>4</c:v>
                </c:pt>
                <c:pt idx="56">
                  <c:v>6</c:v>
                </c:pt>
              </c:numCache>
            </c:numRef>
          </c:val>
          <c:smooth val="0"/>
          <c:extLst xmlns:c16r2="http://schemas.microsoft.com/office/drawing/2015/06/chart">
            <c:ext xmlns:c16="http://schemas.microsoft.com/office/drawing/2014/chart" uri="{C3380CC4-5D6E-409C-BE32-E72D297353CC}">
              <c16:uniqueId val="{00000001-1AE7-4BA2-99ED-A669DCCC4CBD}"/>
            </c:ext>
          </c:extLst>
        </c:ser>
        <c:ser>
          <c:idx val="3"/>
          <c:order val="2"/>
          <c:tx>
            <c:strRef>
              <c:f>'East Asian'!$D$1</c:f>
              <c:strCache>
                <c:ptCount val="1"/>
                <c:pt idx="0">
                  <c:v>state</c:v>
                </c:pt>
              </c:strCache>
            </c:strRef>
          </c:tx>
          <c:marker>
            <c:symbol val="circle"/>
            <c:size val="7"/>
          </c:marker>
          <c:cat>
            <c:numRef>
              <c:f>'East Asian'!$A$2:$A$58</c:f>
              <c:numCache>
                <c:formatCode>General</c:formatCode>
                <c:ptCount val="57"/>
                <c:pt idx="0">
                  <c:v>-1000</c:v>
                </c:pt>
                <c:pt idx="1">
                  <c:v>-950</c:v>
                </c:pt>
                <c:pt idx="2">
                  <c:v>-900</c:v>
                </c:pt>
                <c:pt idx="3">
                  <c:v>-850</c:v>
                </c:pt>
                <c:pt idx="4">
                  <c:v>-800</c:v>
                </c:pt>
                <c:pt idx="5">
                  <c:v>-750</c:v>
                </c:pt>
                <c:pt idx="6">
                  <c:v>-700</c:v>
                </c:pt>
                <c:pt idx="7">
                  <c:v>-650</c:v>
                </c:pt>
                <c:pt idx="8">
                  <c:v>-600</c:v>
                </c:pt>
                <c:pt idx="9">
                  <c:v>-550</c:v>
                </c:pt>
                <c:pt idx="10">
                  <c:v>-500</c:v>
                </c:pt>
                <c:pt idx="11">
                  <c:v>-450</c:v>
                </c:pt>
                <c:pt idx="12">
                  <c:v>-400</c:v>
                </c:pt>
                <c:pt idx="13">
                  <c:v>-350</c:v>
                </c:pt>
                <c:pt idx="14">
                  <c:v>-300</c:v>
                </c:pt>
                <c:pt idx="15">
                  <c:v>-250</c:v>
                </c:pt>
                <c:pt idx="16">
                  <c:v>-200</c:v>
                </c:pt>
                <c:pt idx="17">
                  <c:v>-150</c:v>
                </c:pt>
                <c:pt idx="18">
                  <c:v>-100</c:v>
                </c:pt>
                <c:pt idx="19">
                  <c:v>-50</c:v>
                </c:pt>
                <c:pt idx="20">
                  <c:v>0</c:v>
                </c:pt>
                <c:pt idx="21">
                  <c:v>50</c:v>
                </c:pt>
                <c:pt idx="22">
                  <c:v>100</c:v>
                </c:pt>
                <c:pt idx="23">
                  <c:v>150</c:v>
                </c:pt>
                <c:pt idx="24">
                  <c:v>200</c:v>
                </c:pt>
                <c:pt idx="25">
                  <c:v>250</c:v>
                </c:pt>
                <c:pt idx="26">
                  <c:v>300</c:v>
                </c:pt>
                <c:pt idx="27">
                  <c:v>350</c:v>
                </c:pt>
                <c:pt idx="28">
                  <c:v>400</c:v>
                </c:pt>
                <c:pt idx="29">
                  <c:v>450</c:v>
                </c:pt>
                <c:pt idx="30">
                  <c:v>500</c:v>
                </c:pt>
                <c:pt idx="31">
                  <c:v>550</c:v>
                </c:pt>
                <c:pt idx="32">
                  <c:v>600</c:v>
                </c:pt>
                <c:pt idx="33">
                  <c:v>650</c:v>
                </c:pt>
                <c:pt idx="34">
                  <c:v>700</c:v>
                </c:pt>
                <c:pt idx="35">
                  <c:v>750</c:v>
                </c:pt>
                <c:pt idx="36">
                  <c:v>800</c:v>
                </c:pt>
                <c:pt idx="37">
                  <c:v>850</c:v>
                </c:pt>
                <c:pt idx="38">
                  <c:v>900</c:v>
                </c:pt>
                <c:pt idx="39">
                  <c:v>950</c:v>
                </c:pt>
                <c:pt idx="40">
                  <c:v>1000</c:v>
                </c:pt>
                <c:pt idx="41">
                  <c:v>1050</c:v>
                </c:pt>
                <c:pt idx="42">
                  <c:v>1100</c:v>
                </c:pt>
                <c:pt idx="43">
                  <c:v>1150</c:v>
                </c:pt>
                <c:pt idx="44">
                  <c:v>1200</c:v>
                </c:pt>
                <c:pt idx="45">
                  <c:v>1250</c:v>
                </c:pt>
                <c:pt idx="46">
                  <c:v>1300</c:v>
                </c:pt>
                <c:pt idx="47">
                  <c:v>1350</c:v>
                </c:pt>
                <c:pt idx="48">
                  <c:v>1400</c:v>
                </c:pt>
                <c:pt idx="49">
                  <c:v>1450</c:v>
                </c:pt>
                <c:pt idx="50">
                  <c:v>1500</c:v>
                </c:pt>
                <c:pt idx="51">
                  <c:v>1550</c:v>
                </c:pt>
                <c:pt idx="52">
                  <c:v>1600</c:v>
                </c:pt>
                <c:pt idx="53">
                  <c:v>1650</c:v>
                </c:pt>
                <c:pt idx="54">
                  <c:v>1700</c:v>
                </c:pt>
                <c:pt idx="55">
                  <c:v>1750</c:v>
                </c:pt>
                <c:pt idx="56">
                  <c:v>1800</c:v>
                </c:pt>
              </c:numCache>
            </c:numRef>
          </c:cat>
          <c:val>
            <c:numRef>
              <c:f>'East Asian'!$D$2:$D$58</c:f>
              <c:numCache>
                <c:formatCode>General</c:formatCode>
                <c:ptCount val="57"/>
                <c:pt idx="0">
                  <c:v>1.05</c:v>
                </c:pt>
                <c:pt idx="1">
                  <c:v>0.85000000000000009</c:v>
                </c:pt>
                <c:pt idx="2">
                  <c:v>0.65</c:v>
                </c:pt>
                <c:pt idx="3">
                  <c:v>0.45</c:v>
                </c:pt>
                <c:pt idx="4">
                  <c:v>0.25</c:v>
                </c:pt>
                <c:pt idx="5">
                  <c:v>0.13823529411764707</c:v>
                </c:pt>
                <c:pt idx="6">
                  <c:v>0.10882352941176471</c:v>
                </c:pt>
                <c:pt idx="7">
                  <c:v>7.9411764705882362E-2</c:v>
                </c:pt>
                <c:pt idx="8">
                  <c:v>0.05</c:v>
                </c:pt>
                <c:pt idx="9">
                  <c:v>0.1</c:v>
                </c:pt>
                <c:pt idx="10">
                  <c:v>0.15</c:v>
                </c:pt>
                <c:pt idx="11">
                  <c:v>0.26666666666666666</c:v>
                </c:pt>
                <c:pt idx="12">
                  <c:v>0.38333333333333336</c:v>
                </c:pt>
                <c:pt idx="13">
                  <c:v>0.5</c:v>
                </c:pt>
                <c:pt idx="14">
                  <c:v>0.1</c:v>
                </c:pt>
                <c:pt idx="15">
                  <c:v>1.3</c:v>
                </c:pt>
                <c:pt idx="16">
                  <c:v>2.6599999999999997</c:v>
                </c:pt>
                <c:pt idx="17">
                  <c:v>2.8484848484848486</c:v>
                </c:pt>
                <c:pt idx="18">
                  <c:v>4.5666666666666664</c:v>
                </c:pt>
                <c:pt idx="19">
                  <c:v>6</c:v>
                </c:pt>
                <c:pt idx="20">
                  <c:v>4.8950000000000005</c:v>
                </c:pt>
                <c:pt idx="21">
                  <c:v>4.3490566037735849</c:v>
                </c:pt>
                <c:pt idx="22">
                  <c:v>6.5</c:v>
                </c:pt>
                <c:pt idx="23">
                  <c:v>4.1842105263157894</c:v>
                </c:pt>
                <c:pt idx="24">
                  <c:v>2.5</c:v>
                </c:pt>
                <c:pt idx="25">
                  <c:v>1.8452380952380953</c:v>
                </c:pt>
                <c:pt idx="26">
                  <c:v>1.3379310344827586</c:v>
                </c:pt>
                <c:pt idx="27">
                  <c:v>0.70074999999999976</c:v>
                </c:pt>
                <c:pt idx="28">
                  <c:v>0.21517857142857144</c:v>
                </c:pt>
                <c:pt idx="29">
                  <c:v>2</c:v>
                </c:pt>
                <c:pt idx="30">
                  <c:v>1.3269230769230771</c:v>
                </c:pt>
                <c:pt idx="31">
                  <c:v>1</c:v>
                </c:pt>
                <c:pt idx="32">
                  <c:v>3.0523809523809526</c:v>
                </c:pt>
                <c:pt idx="33">
                  <c:v>3.6</c:v>
                </c:pt>
                <c:pt idx="34">
                  <c:v>5.0739130434782611</c:v>
                </c:pt>
                <c:pt idx="35">
                  <c:v>3.9429999999999992</c:v>
                </c:pt>
                <c:pt idx="36">
                  <c:v>3.2428571428571429</c:v>
                </c:pt>
                <c:pt idx="37">
                  <c:v>3.9571428571428569</c:v>
                </c:pt>
                <c:pt idx="38">
                  <c:v>1.2083333333333335</c:v>
                </c:pt>
                <c:pt idx="39">
                  <c:v>3.127272727272727</c:v>
                </c:pt>
                <c:pt idx="40">
                  <c:v>2.75</c:v>
                </c:pt>
                <c:pt idx="41">
                  <c:v>1.875</c:v>
                </c:pt>
                <c:pt idx="42">
                  <c:v>1</c:v>
                </c:pt>
                <c:pt idx="43">
                  <c:v>1.2162162162162162</c:v>
                </c:pt>
                <c:pt idx="44">
                  <c:v>1.7567567567567568</c:v>
                </c:pt>
                <c:pt idx="45">
                  <c:v>1E-3</c:v>
                </c:pt>
                <c:pt idx="46">
                  <c:v>27.24</c:v>
                </c:pt>
                <c:pt idx="47">
                  <c:v>10.024390243902438</c:v>
                </c:pt>
                <c:pt idx="48">
                  <c:v>3.9</c:v>
                </c:pt>
                <c:pt idx="49">
                  <c:v>6.5</c:v>
                </c:pt>
                <c:pt idx="50">
                  <c:v>4.4365079365079367</c:v>
                </c:pt>
                <c:pt idx="51">
                  <c:v>2.3689655172413793</c:v>
                </c:pt>
                <c:pt idx="52">
                  <c:v>0.3</c:v>
                </c:pt>
                <c:pt idx="53">
                  <c:v>6.5</c:v>
                </c:pt>
                <c:pt idx="54">
                  <c:v>8.8000000000000007</c:v>
                </c:pt>
                <c:pt idx="55">
                  <c:v>12.457142857142856</c:v>
                </c:pt>
                <c:pt idx="56">
                  <c:v>15.366666666666699</c:v>
                </c:pt>
              </c:numCache>
            </c:numRef>
          </c:val>
          <c:smooth val="0"/>
          <c:extLst xmlns:c16r2="http://schemas.microsoft.com/office/drawing/2015/06/chart">
            <c:ext xmlns:c16="http://schemas.microsoft.com/office/drawing/2014/chart" uri="{C3380CC4-5D6E-409C-BE32-E72D297353CC}">
              <c16:uniqueId val="{00000002-1AE7-4BA2-99ED-A669DCCC4CBD}"/>
            </c:ext>
          </c:extLst>
        </c:ser>
        <c:dLbls>
          <c:showLegendKey val="0"/>
          <c:showVal val="0"/>
          <c:showCatName val="0"/>
          <c:showSerName val="0"/>
          <c:showPercent val="0"/>
          <c:showBubbleSize val="0"/>
        </c:dLbls>
        <c:marker val="1"/>
        <c:smooth val="0"/>
        <c:axId val="272402688"/>
        <c:axId val="272400768"/>
      </c:lineChart>
      <c:catAx>
        <c:axId val="27239667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72398592"/>
        <c:crosses val="autoZero"/>
        <c:auto val="1"/>
        <c:lblAlgn val="ctr"/>
        <c:lblOffset val="100"/>
        <c:noMultiLvlLbl val="0"/>
      </c:catAx>
      <c:valAx>
        <c:axId val="272398592"/>
        <c:scaling>
          <c:orientation val="minMax"/>
        </c:scaling>
        <c:delete val="0"/>
        <c:axPos val="l"/>
        <c:majorGridlines/>
        <c:title>
          <c:tx>
            <c:rich>
              <a:bodyPr rot="0" vert="wordArtVert"/>
              <a:lstStyle/>
              <a:p>
                <a:pPr>
                  <a:defRPr/>
                </a:pPr>
                <a:r>
                  <a:rPr lang="en-US"/>
                  <a:t>City Population (thousands)</a:t>
                </a:r>
              </a:p>
            </c:rich>
          </c:tx>
          <c:overlay val="0"/>
        </c:title>
        <c:numFmt formatCode="General" sourceLinked="1"/>
        <c:majorTickMark val="out"/>
        <c:minorTickMark val="none"/>
        <c:tickLblPos val="nextTo"/>
        <c:crossAx val="272396672"/>
        <c:crosses val="autoZero"/>
        <c:crossBetween val="between"/>
      </c:valAx>
      <c:valAx>
        <c:axId val="272400768"/>
        <c:scaling>
          <c:orientation val="minMax"/>
        </c:scaling>
        <c:delete val="0"/>
        <c:axPos val="r"/>
        <c:title>
          <c:tx>
            <c:rich>
              <a:bodyPr rot="-5400000" vert="horz"/>
              <a:lstStyle/>
              <a:p>
                <a:pPr>
                  <a:defRPr/>
                </a:pPr>
                <a:r>
                  <a:rPr lang="en-US"/>
                  <a:t>Territorial Size of Largest Polity (sq. megameters)</a:t>
                </a:r>
              </a:p>
            </c:rich>
          </c:tx>
          <c:overlay val="0"/>
        </c:title>
        <c:numFmt formatCode="General" sourceLinked="1"/>
        <c:majorTickMark val="out"/>
        <c:minorTickMark val="none"/>
        <c:tickLblPos val="nextTo"/>
        <c:crossAx val="272402688"/>
        <c:crosses val="max"/>
        <c:crossBetween val="between"/>
      </c:valAx>
      <c:catAx>
        <c:axId val="272402688"/>
        <c:scaling>
          <c:orientation val="minMax"/>
        </c:scaling>
        <c:delete val="1"/>
        <c:axPos val="b"/>
        <c:numFmt formatCode="General" sourceLinked="1"/>
        <c:majorTickMark val="out"/>
        <c:minorTickMark val="none"/>
        <c:tickLblPos val="nextTo"/>
        <c:crossAx val="27240076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2"/>
          <c:order val="1"/>
          <c:tx>
            <c:strRef>
              <c:f>central!$C$1</c:f>
              <c:strCache>
                <c:ptCount val="1"/>
                <c:pt idx="0">
                  <c:v>city</c:v>
                </c:pt>
              </c:strCache>
            </c:strRef>
          </c:tx>
          <c:cat>
            <c:numRef>
              <c:f>central!$A$2:$A$70</c:f>
              <c:numCache>
                <c:formatCode>General</c:formatCode>
                <c:ptCount val="69"/>
                <c:pt idx="0">
                  <c:v>-1500</c:v>
                </c:pt>
                <c:pt idx="1">
                  <c:v>-1450</c:v>
                </c:pt>
                <c:pt idx="2">
                  <c:v>-1400</c:v>
                </c:pt>
                <c:pt idx="3">
                  <c:v>-1350</c:v>
                </c:pt>
                <c:pt idx="4">
                  <c:v>-1300</c:v>
                </c:pt>
                <c:pt idx="5">
                  <c:v>-1250</c:v>
                </c:pt>
                <c:pt idx="6">
                  <c:v>-1200</c:v>
                </c:pt>
                <c:pt idx="7">
                  <c:v>-1150</c:v>
                </c:pt>
                <c:pt idx="8">
                  <c:v>-1100</c:v>
                </c:pt>
                <c:pt idx="9">
                  <c:v>-1050</c:v>
                </c:pt>
                <c:pt idx="10">
                  <c:v>-1000</c:v>
                </c:pt>
                <c:pt idx="11">
                  <c:v>-950</c:v>
                </c:pt>
                <c:pt idx="12">
                  <c:v>-900</c:v>
                </c:pt>
                <c:pt idx="13">
                  <c:v>-850</c:v>
                </c:pt>
                <c:pt idx="14">
                  <c:v>-800</c:v>
                </c:pt>
                <c:pt idx="15">
                  <c:v>-750</c:v>
                </c:pt>
                <c:pt idx="16">
                  <c:v>-700</c:v>
                </c:pt>
                <c:pt idx="17">
                  <c:v>-650</c:v>
                </c:pt>
                <c:pt idx="18">
                  <c:v>-600</c:v>
                </c:pt>
                <c:pt idx="19">
                  <c:v>-550</c:v>
                </c:pt>
                <c:pt idx="20">
                  <c:v>-500</c:v>
                </c:pt>
                <c:pt idx="21">
                  <c:v>-450</c:v>
                </c:pt>
                <c:pt idx="22">
                  <c:v>-400</c:v>
                </c:pt>
                <c:pt idx="23">
                  <c:v>-350</c:v>
                </c:pt>
                <c:pt idx="24">
                  <c:v>-300</c:v>
                </c:pt>
                <c:pt idx="25">
                  <c:v>-250</c:v>
                </c:pt>
                <c:pt idx="26">
                  <c:v>-200</c:v>
                </c:pt>
                <c:pt idx="27">
                  <c:v>-150</c:v>
                </c:pt>
                <c:pt idx="28">
                  <c:v>-100</c:v>
                </c:pt>
                <c:pt idx="29">
                  <c:v>-50</c:v>
                </c:pt>
                <c:pt idx="30">
                  <c:v>1</c:v>
                </c:pt>
                <c:pt idx="31">
                  <c:v>50</c:v>
                </c:pt>
                <c:pt idx="32">
                  <c:v>100</c:v>
                </c:pt>
                <c:pt idx="33">
                  <c:v>150</c:v>
                </c:pt>
                <c:pt idx="34">
                  <c:v>200</c:v>
                </c:pt>
                <c:pt idx="35">
                  <c:v>250</c:v>
                </c:pt>
                <c:pt idx="36">
                  <c:v>300</c:v>
                </c:pt>
                <c:pt idx="37">
                  <c:v>350</c:v>
                </c:pt>
                <c:pt idx="38">
                  <c:v>400</c:v>
                </c:pt>
                <c:pt idx="39">
                  <c:v>450</c:v>
                </c:pt>
                <c:pt idx="40">
                  <c:v>500</c:v>
                </c:pt>
                <c:pt idx="41">
                  <c:v>550</c:v>
                </c:pt>
                <c:pt idx="42">
                  <c:v>600</c:v>
                </c:pt>
                <c:pt idx="43">
                  <c:v>650</c:v>
                </c:pt>
                <c:pt idx="44">
                  <c:v>700</c:v>
                </c:pt>
                <c:pt idx="45">
                  <c:v>750</c:v>
                </c:pt>
                <c:pt idx="46">
                  <c:v>800</c:v>
                </c:pt>
                <c:pt idx="47">
                  <c:v>850</c:v>
                </c:pt>
                <c:pt idx="48">
                  <c:v>900</c:v>
                </c:pt>
                <c:pt idx="49">
                  <c:v>950</c:v>
                </c:pt>
                <c:pt idx="50">
                  <c:v>1000</c:v>
                </c:pt>
                <c:pt idx="51">
                  <c:v>1050</c:v>
                </c:pt>
                <c:pt idx="52">
                  <c:v>1100</c:v>
                </c:pt>
                <c:pt idx="53">
                  <c:v>1150</c:v>
                </c:pt>
                <c:pt idx="54">
                  <c:v>1200</c:v>
                </c:pt>
                <c:pt idx="55">
                  <c:v>1250</c:v>
                </c:pt>
                <c:pt idx="56">
                  <c:v>1300</c:v>
                </c:pt>
                <c:pt idx="57">
                  <c:v>1350</c:v>
                </c:pt>
                <c:pt idx="58">
                  <c:v>1400</c:v>
                </c:pt>
                <c:pt idx="59">
                  <c:v>1450</c:v>
                </c:pt>
                <c:pt idx="60">
                  <c:v>1500</c:v>
                </c:pt>
                <c:pt idx="61">
                  <c:v>1550</c:v>
                </c:pt>
                <c:pt idx="62">
                  <c:v>1600</c:v>
                </c:pt>
                <c:pt idx="63">
                  <c:v>1650</c:v>
                </c:pt>
                <c:pt idx="64">
                  <c:v>1700</c:v>
                </c:pt>
                <c:pt idx="65">
                  <c:v>1750</c:v>
                </c:pt>
                <c:pt idx="66">
                  <c:v>1800</c:v>
                </c:pt>
                <c:pt idx="67">
                  <c:v>1850</c:v>
                </c:pt>
                <c:pt idx="68">
                  <c:v>1900</c:v>
                </c:pt>
              </c:numCache>
            </c:numRef>
          </c:cat>
          <c:val>
            <c:numRef>
              <c:f>central!$C$2:$C$70</c:f>
              <c:numCache>
                <c:formatCode>General</c:formatCode>
                <c:ptCount val="69"/>
                <c:pt idx="0">
                  <c:v>75</c:v>
                </c:pt>
                <c:pt idx="1">
                  <c:v>62.5</c:v>
                </c:pt>
                <c:pt idx="2">
                  <c:v>50</c:v>
                </c:pt>
                <c:pt idx="3">
                  <c:v>30</c:v>
                </c:pt>
                <c:pt idx="4">
                  <c:v>80</c:v>
                </c:pt>
                <c:pt idx="5">
                  <c:v>120</c:v>
                </c:pt>
                <c:pt idx="6">
                  <c:v>160</c:v>
                </c:pt>
                <c:pt idx="7">
                  <c:v>117.5</c:v>
                </c:pt>
                <c:pt idx="8">
                  <c:v>75</c:v>
                </c:pt>
                <c:pt idx="9">
                  <c:v>97.5</c:v>
                </c:pt>
                <c:pt idx="10">
                  <c:v>120</c:v>
                </c:pt>
                <c:pt idx="11">
                  <c:v>110</c:v>
                </c:pt>
                <c:pt idx="12">
                  <c:v>100</c:v>
                </c:pt>
                <c:pt idx="13">
                  <c:v>100</c:v>
                </c:pt>
                <c:pt idx="14">
                  <c:v>100</c:v>
                </c:pt>
                <c:pt idx="15">
                  <c:v>105</c:v>
                </c:pt>
                <c:pt idx="16">
                  <c:v>110</c:v>
                </c:pt>
                <c:pt idx="17">
                  <c:v>120</c:v>
                </c:pt>
                <c:pt idx="18">
                  <c:v>200</c:v>
                </c:pt>
                <c:pt idx="19">
                  <c:v>200</c:v>
                </c:pt>
                <c:pt idx="20">
                  <c:v>200</c:v>
                </c:pt>
                <c:pt idx="21">
                  <c:v>200</c:v>
                </c:pt>
                <c:pt idx="22">
                  <c:v>200</c:v>
                </c:pt>
                <c:pt idx="23">
                  <c:v>350</c:v>
                </c:pt>
                <c:pt idx="24">
                  <c:v>500</c:v>
                </c:pt>
                <c:pt idx="25">
                  <c:v>550</c:v>
                </c:pt>
                <c:pt idx="26">
                  <c:v>600</c:v>
                </c:pt>
                <c:pt idx="27">
                  <c:v>800</c:v>
                </c:pt>
                <c:pt idx="28">
                  <c:v>1000</c:v>
                </c:pt>
                <c:pt idx="29">
                  <c:v>1000</c:v>
                </c:pt>
                <c:pt idx="30">
                  <c:v>1000</c:v>
                </c:pt>
                <c:pt idx="31">
                  <c:v>1000</c:v>
                </c:pt>
                <c:pt idx="32">
                  <c:v>1000</c:v>
                </c:pt>
                <c:pt idx="33">
                  <c:v>1000</c:v>
                </c:pt>
                <c:pt idx="34">
                  <c:v>1000</c:v>
                </c:pt>
                <c:pt idx="35">
                  <c:v>1000</c:v>
                </c:pt>
                <c:pt idx="36">
                  <c:v>1000</c:v>
                </c:pt>
                <c:pt idx="37">
                  <c:v>426.22950819672133</c:v>
                </c:pt>
                <c:pt idx="38">
                  <c:v>800</c:v>
                </c:pt>
                <c:pt idx="39">
                  <c:v>650</c:v>
                </c:pt>
                <c:pt idx="40">
                  <c:v>500</c:v>
                </c:pt>
                <c:pt idx="41">
                  <c:v>550</c:v>
                </c:pt>
                <c:pt idx="42">
                  <c:v>600</c:v>
                </c:pt>
                <c:pt idx="43">
                  <c:v>372.72727272727275</c:v>
                </c:pt>
                <c:pt idx="44">
                  <c:v>400</c:v>
                </c:pt>
                <c:pt idx="45">
                  <c:v>500</c:v>
                </c:pt>
                <c:pt idx="46">
                  <c:v>600</c:v>
                </c:pt>
                <c:pt idx="47">
                  <c:v>800</c:v>
                </c:pt>
                <c:pt idx="48">
                  <c:v>1000</c:v>
                </c:pt>
                <c:pt idx="49">
                  <c:v>750</c:v>
                </c:pt>
                <c:pt idx="50">
                  <c:v>500</c:v>
                </c:pt>
                <c:pt idx="51">
                  <c:v>500</c:v>
                </c:pt>
                <c:pt idx="52">
                  <c:v>500</c:v>
                </c:pt>
                <c:pt idx="53">
                  <c:v>200</c:v>
                </c:pt>
                <c:pt idx="54">
                  <c:v>250</c:v>
                </c:pt>
                <c:pt idx="55">
                  <c:v>300</c:v>
                </c:pt>
                <c:pt idx="56">
                  <c:v>525</c:v>
                </c:pt>
                <c:pt idx="57">
                  <c:v>350</c:v>
                </c:pt>
                <c:pt idx="58">
                  <c:v>400</c:v>
                </c:pt>
                <c:pt idx="59">
                  <c:v>455</c:v>
                </c:pt>
                <c:pt idx="60">
                  <c:v>500</c:v>
                </c:pt>
                <c:pt idx="61">
                  <c:v>660</c:v>
                </c:pt>
                <c:pt idx="62">
                  <c:v>700</c:v>
                </c:pt>
                <c:pt idx="63">
                  <c:v>700</c:v>
                </c:pt>
                <c:pt idx="64">
                  <c:v>1000</c:v>
                </c:pt>
                <c:pt idx="65">
                  <c:v>676</c:v>
                </c:pt>
                <c:pt idx="66">
                  <c:v>1000</c:v>
                </c:pt>
                <c:pt idx="67">
                  <c:v>2320</c:v>
                </c:pt>
                <c:pt idx="68">
                  <c:v>6600</c:v>
                </c:pt>
              </c:numCache>
            </c:numRef>
          </c:val>
          <c:smooth val="0"/>
          <c:extLst xmlns:c16r2="http://schemas.microsoft.com/office/drawing/2015/06/chart">
            <c:ext xmlns:c16="http://schemas.microsoft.com/office/drawing/2014/chart" uri="{C3380CC4-5D6E-409C-BE32-E72D297353CC}">
              <c16:uniqueId val="{00000000-1118-434F-8EF3-B343086F6295}"/>
            </c:ext>
          </c:extLst>
        </c:ser>
        <c:dLbls>
          <c:showLegendKey val="0"/>
          <c:showVal val="0"/>
          <c:showCatName val="0"/>
          <c:showSerName val="0"/>
          <c:showPercent val="0"/>
          <c:showBubbleSize val="0"/>
        </c:dLbls>
        <c:marker val="1"/>
        <c:smooth val="0"/>
        <c:axId val="272579584"/>
        <c:axId val="272622720"/>
      </c:lineChart>
      <c:lineChart>
        <c:grouping val="standard"/>
        <c:varyColors val="0"/>
        <c:ser>
          <c:idx val="1"/>
          <c:order val="0"/>
          <c:tx>
            <c:strRef>
              <c:f>central!$B$1</c:f>
              <c:strCache>
                <c:ptCount val="1"/>
                <c:pt idx="0">
                  <c:v>central power configuration</c:v>
                </c:pt>
              </c:strCache>
            </c:strRef>
          </c:tx>
          <c:cat>
            <c:numRef>
              <c:f>central!$A$2:$A$70</c:f>
              <c:numCache>
                <c:formatCode>General</c:formatCode>
                <c:ptCount val="69"/>
                <c:pt idx="0">
                  <c:v>-1500</c:v>
                </c:pt>
                <c:pt idx="1">
                  <c:v>-1450</c:v>
                </c:pt>
                <c:pt idx="2">
                  <c:v>-1400</c:v>
                </c:pt>
                <c:pt idx="3">
                  <c:v>-1350</c:v>
                </c:pt>
                <c:pt idx="4">
                  <c:v>-1300</c:v>
                </c:pt>
                <c:pt idx="5">
                  <c:v>-1250</c:v>
                </c:pt>
                <c:pt idx="6">
                  <c:v>-1200</c:v>
                </c:pt>
                <c:pt idx="7">
                  <c:v>-1150</c:v>
                </c:pt>
                <c:pt idx="8">
                  <c:v>-1100</c:v>
                </c:pt>
                <c:pt idx="9">
                  <c:v>-1050</c:v>
                </c:pt>
                <c:pt idx="10">
                  <c:v>-1000</c:v>
                </c:pt>
                <c:pt idx="11">
                  <c:v>-950</c:v>
                </c:pt>
                <c:pt idx="12">
                  <c:v>-900</c:v>
                </c:pt>
                <c:pt idx="13">
                  <c:v>-850</c:v>
                </c:pt>
                <c:pt idx="14">
                  <c:v>-800</c:v>
                </c:pt>
                <c:pt idx="15">
                  <c:v>-750</c:v>
                </c:pt>
                <c:pt idx="16">
                  <c:v>-700</c:v>
                </c:pt>
                <c:pt idx="17">
                  <c:v>-650</c:v>
                </c:pt>
                <c:pt idx="18">
                  <c:v>-600</c:v>
                </c:pt>
                <c:pt idx="19">
                  <c:v>-550</c:v>
                </c:pt>
                <c:pt idx="20">
                  <c:v>-500</c:v>
                </c:pt>
                <c:pt idx="21">
                  <c:v>-450</c:v>
                </c:pt>
                <c:pt idx="22">
                  <c:v>-400</c:v>
                </c:pt>
                <c:pt idx="23">
                  <c:v>-350</c:v>
                </c:pt>
                <c:pt idx="24">
                  <c:v>-300</c:v>
                </c:pt>
                <c:pt idx="25">
                  <c:v>-250</c:v>
                </c:pt>
                <c:pt idx="26">
                  <c:v>-200</c:v>
                </c:pt>
                <c:pt idx="27">
                  <c:v>-150</c:v>
                </c:pt>
                <c:pt idx="28">
                  <c:v>-100</c:v>
                </c:pt>
                <c:pt idx="29">
                  <c:v>-50</c:v>
                </c:pt>
                <c:pt idx="30">
                  <c:v>1</c:v>
                </c:pt>
                <c:pt idx="31">
                  <c:v>50</c:v>
                </c:pt>
                <c:pt idx="32">
                  <c:v>100</c:v>
                </c:pt>
                <c:pt idx="33">
                  <c:v>150</c:v>
                </c:pt>
                <c:pt idx="34">
                  <c:v>200</c:v>
                </c:pt>
                <c:pt idx="35">
                  <c:v>250</c:v>
                </c:pt>
                <c:pt idx="36">
                  <c:v>300</c:v>
                </c:pt>
                <c:pt idx="37">
                  <c:v>350</c:v>
                </c:pt>
                <c:pt idx="38">
                  <c:v>400</c:v>
                </c:pt>
                <c:pt idx="39">
                  <c:v>450</c:v>
                </c:pt>
                <c:pt idx="40">
                  <c:v>500</c:v>
                </c:pt>
                <c:pt idx="41">
                  <c:v>550</c:v>
                </c:pt>
                <c:pt idx="42">
                  <c:v>600</c:v>
                </c:pt>
                <c:pt idx="43">
                  <c:v>650</c:v>
                </c:pt>
                <c:pt idx="44">
                  <c:v>700</c:v>
                </c:pt>
                <c:pt idx="45">
                  <c:v>750</c:v>
                </c:pt>
                <c:pt idx="46">
                  <c:v>800</c:v>
                </c:pt>
                <c:pt idx="47">
                  <c:v>850</c:v>
                </c:pt>
                <c:pt idx="48">
                  <c:v>900</c:v>
                </c:pt>
                <c:pt idx="49">
                  <c:v>950</c:v>
                </c:pt>
                <c:pt idx="50">
                  <c:v>1000</c:v>
                </c:pt>
                <c:pt idx="51">
                  <c:v>1050</c:v>
                </c:pt>
                <c:pt idx="52">
                  <c:v>1100</c:v>
                </c:pt>
                <c:pt idx="53">
                  <c:v>1150</c:v>
                </c:pt>
                <c:pt idx="54">
                  <c:v>1200</c:v>
                </c:pt>
                <c:pt idx="55">
                  <c:v>1250</c:v>
                </c:pt>
                <c:pt idx="56">
                  <c:v>1300</c:v>
                </c:pt>
                <c:pt idx="57">
                  <c:v>1350</c:v>
                </c:pt>
                <c:pt idx="58">
                  <c:v>1400</c:v>
                </c:pt>
                <c:pt idx="59">
                  <c:v>1450</c:v>
                </c:pt>
                <c:pt idx="60">
                  <c:v>1500</c:v>
                </c:pt>
                <c:pt idx="61">
                  <c:v>1550</c:v>
                </c:pt>
                <c:pt idx="62">
                  <c:v>1600</c:v>
                </c:pt>
                <c:pt idx="63">
                  <c:v>1650</c:v>
                </c:pt>
                <c:pt idx="64">
                  <c:v>1700</c:v>
                </c:pt>
                <c:pt idx="65">
                  <c:v>1750</c:v>
                </c:pt>
                <c:pt idx="66">
                  <c:v>1800</c:v>
                </c:pt>
                <c:pt idx="67">
                  <c:v>1850</c:v>
                </c:pt>
                <c:pt idx="68">
                  <c:v>1900</c:v>
                </c:pt>
              </c:numCache>
            </c:numRef>
          </c:cat>
          <c:val>
            <c:numRef>
              <c:f>central!$B$2:$B$70</c:f>
              <c:numCache>
                <c:formatCode>General</c:formatCode>
                <c:ptCount val="69"/>
                <c:pt idx="0">
                  <c:v>1</c:v>
                </c:pt>
                <c:pt idx="1">
                  <c:v>1</c:v>
                </c:pt>
                <c:pt idx="2">
                  <c:v>4</c:v>
                </c:pt>
                <c:pt idx="3">
                  <c:v>4</c:v>
                </c:pt>
                <c:pt idx="4">
                  <c:v>1</c:v>
                </c:pt>
                <c:pt idx="5">
                  <c:v>2</c:v>
                </c:pt>
                <c:pt idx="6">
                  <c:v>1</c:v>
                </c:pt>
                <c:pt idx="7">
                  <c:v>2</c:v>
                </c:pt>
                <c:pt idx="8">
                  <c:v>4</c:v>
                </c:pt>
                <c:pt idx="9">
                  <c:v>1</c:v>
                </c:pt>
                <c:pt idx="10">
                  <c:v>1</c:v>
                </c:pt>
                <c:pt idx="11">
                  <c:v>1</c:v>
                </c:pt>
                <c:pt idx="12">
                  <c:v>2</c:v>
                </c:pt>
                <c:pt idx="13">
                  <c:v>4</c:v>
                </c:pt>
                <c:pt idx="14">
                  <c:v>1</c:v>
                </c:pt>
                <c:pt idx="15">
                  <c:v>1</c:v>
                </c:pt>
                <c:pt idx="16">
                  <c:v>4</c:v>
                </c:pt>
              </c:numCache>
            </c:numRef>
          </c:val>
          <c:smooth val="0"/>
          <c:extLst xmlns:c16r2="http://schemas.microsoft.com/office/drawing/2015/06/chart">
            <c:ext xmlns:c16="http://schemas.microsoft.com/office/drawing/2014/chart" uri="{C3380CC4-5D6E-409C-BE32-E72D297353CC}">
              <c16:uniqueId val="{00000001-1118-434F-8EF3-B343086F6295}"/>
            </c:ext>
          </c:extLst>
        </c:ser>
        <c:ser>
          <c:idx val="3"/>
          <c:order val="2"/>
          <c:tx>
            <c:strRef>
              <c:f>central!$D$1</c:f>
              <c:strCache>
                <c:ptCount val="1"/>
                <c:pt idx="0">
                  <c:v>state</c:v>
                </c:pt>
              </c:strCache>
            </c:strRef>
          </c:tx>
          <c:marker>
            <c:symbol val="circle"/>
            <c:size val="7"/>
          </c:marker>
          <c:cat>
            <c:numRef>
              <c:f>central!$A$2:$A$70</c:f>
              <c:numCache>
                <c:formatCode>General</c:formatCode>
                <c:ptCount val="69"/>
                <c:pt idx="0">
                  <c:v>-1500</c:v>
                </c:pt>
                <c:pt idx="1">
                  <c:v>-1450</c:v>
                </c:pt>
                <c:pt idx="2">
                  <c:v>-1400</c:v>
                </c:pt>
                <c:pt idx="3">
                  <c:v>-1350</c:v>
                </c:pt>
                <c:pt idx="4">
                  <c:v>-1300</c:v>
                </c:pt>
                <c:pt idx="5">
                  <c:v>-1250</c:v>
                </c:pt>
                <c:pt idx="6">
                  <c:v>-1200</c:v>
                </c:pt>
                <c:pt idx="7">
                  <c:v>-1150</c:v>
                </c:pt>
                <c:pt idx="8">
                  <c:v>-1100</c:v>
                </c:pt>
                <c:pt idx="9">
                  <c:v>-1050</c:v>
                </c:pt>
                <c:pt idx="10">
                  <c:v>-1000</c:v>
                </c:pt>
                <c:pt idx="11">
                  <c:v>-950</c:v>
                </c:pt>
                <c:pt idx="12">
                  <c:v>-900</c:v>
                </c:pt>
                <c:pt idx="13">
                  <c:v>-850</c:v>
                </c:pt>
                <c:pt idx="14">
                  <c:v>-800</c:v>
                </c:pt>
                <c:pt idx="15">
                  <c:v>-750</c:v>
                </c:pt>
                <c:pt idx="16">
                  <c:v>-700</c:v>
                </c:pt>
                <c:pt idx="17">
                  <c:v>-650</c:v>
                </c:pt>
                <c:pt idx="18">
                  <c:v>-600</c:v>
                </c:pt>
                <c:pt idx="19">
                  <c:v>-550</c:v>
                </c:pt>
                <c:pt idx="20">
                  <c:v>-500</c:v>
                </c:pt>
                <c:pt idx="21">
                  <c:v>-450</c:v>
                </c:pt>
                <c:pt idx="22">
                  <c:v>-400</c:v>
                </c:pt>
                <c:pt idx="23">
                  <c:v>-350</c:v>
                </c:pt>
                <c:pt idx="24">
                  <c:v>-300</c:v>
                </c:pt>
                <c:pt idx="25">
                  <c:v>-250</c:v>
                </c:pt>
                <c:pt idx="26">
                  <c:v>-200</c:v>
                </c:pt>
                <c:pt idx="27">
                  <c:v>-150</c:v>
                </c:pt>
                <c:pt idx="28">
                  <c:v>-100</c:v>
                </c:pt>
                <c:pt idx="29">
                  <c:v>-50</c:v>
                </c:pt>
                <c:pt idx="30">
                  <c:v>1</c:v>
                </c:pt>
                <c:pt idx="31">
                  <c:v>50</c:v>
                </c:pt>
                <c:pt idx="32">
                  <c:v>100</c:v>
                </c:pt>
                <c:pt idx="33">
                  <c:v>150</c:v>
                </c:pt>
                <c:pt idx="34">
                  <c:v>200</c:v>
                </c:pt>
                <c:pt idx="35">
                  <c:v>250</c:v>
                </c:pt>
                <c:pt idx="36">
                  <c:v>300</c:v>
                </c:pt>
                <c:pt idx="37">
                  <c:v>350</c:v>
                </c:pt>
                <c:pt idx="38">
                  <c:v>400</c:v>
                </c:pt>
                <c:pt idx="39">
                  <c:v>450</c:v>
                </c:pt>
                <c:pt idx="40">
                  <c:v>500</c:v>
                </c:pt>
                <c:pt idx="41">
                  <c:v>550</c:v>
                </c:pt>
                <c:pt idx="42">
                  <c:v>600</c:v>
                </c:pt>
                <c:pt idx="43">
                  <c:v>650</c:v>
                </c:pt>
                <c:pt idx="44">
                  <c:v>700</c:v>
                </c:pt>
                <c:pt idx="45">
                  <c:v>750</c:v>
                </c:pt>
                <c:pt idx="46">
                  <c:v>800</c:v>
                </c:pt>
                <c:pt idx="47">
                  <c:v>850</c:v>
                </c:pt>
                <c:pt idx="48">
                  <c:v>900</c:v>
                </c:pt>
                <c:pt idx="49">
                  <c:v>950</c:v>
                </c:pt>
                <c:pt idx="50">
                  <c:v>1000</c:v>
                </c:pt>
                <c:pt idx="51">
                  <c:v>1050</c:v>
                </c:pt>
                <c:pt idx="52">
                  <c:v>1100</c:v>
                </c:pt>
                <c:pt idx="53">
                  <c:v>1150</c:v>
                </c:pt>
                <c:pt idx="54">
                  <c:v>1200</c:v>
                </c:pt>
                <c:pt idx="55">
                  <c:v>1250</c:v>
                </c:pt>
                <c:pt idx="56">
                  <c:v>1300</c:v>
                </c:pt>
                <c:pt idx="57">
                  <c:v>1350</c:v>
                </c:pt>
                <c:pt idx="58">
                  <c:v>1400</c:v>
                </c:pt>
                <c:pt idx="59">
                  <c:v>1450</c:v>
                </c:pt>
                <c:pt idx="60">
                  <c:v>1500</c:v>
                </c:pt>
                <c:pt idx="61">
                  <c:v>1550</c:v>
                </c:pt>
                <c:pt idx="62">
                  <c:v>1600</c:v>
                </c:pt>
                <c:pt idx="63">
                  <c:v>1650</c:v>
                </c:pt>
                <c:pt idx="64">
                  <c:v>1700</c:v>
                </c:pt>
                <c:pt idx="65">
                  <c:v>1750</c:v>
                </c:pt>
                <c:pt idx="66">
                  <c:v>1800</c:v>
                </c:pt>
                <c:pt idx="67">
                  <c:v>1850</c:v>
                </c:pt>
                <c:pt idx="68">
                  <c:v>1900</c:v>
                </c:pt>
              </c:numCache>
            </c:numRef>
          </c:cat>
          <c:val>
            <c:numRef>
              <c:f>central!$D$2:$D$70</c:f>
              <c:numCache>
                <c:formatCode>General</c:formatCode>
                <c:ptCount val="69"/>
                <c:pt idx="0">
                  <c:v>0.8</c:v>
                </c:pt>
                <c:pt idx="1">
                  <c:v>0.3</c:v>
                </c:pt>
                <c:pt idx="2">
                  <c:v>0.9</c:v>
                </c:pt>
                <c:pt idx="3">
                  <c:v>0.8</c:v>
                </c:pt>
                <c:pt idx="4">
                  <c:v>1</c:v>
                </c:pt>
                <c:pt idx="5">
                  <c:v>0.8</c:v>
                </c:pt>
                <c:pt idx="6">
                  <c:v>0.7</c:v>
                </c:pt>
                <c:pt idx="7">
                  <c:v>0.65</c:v>
                </c:pt>
                <c:pt idx="8">
                  <c:v>0.5</c:v>
                </c:pt>
                <c:pt idx="9">
                  <c:v>0.5</c:v>
                </c:pt>
                <c:pt idx="10">
                  <c:v>0.4</c:v>
                </c:pt>
                <c:pt idx="11">
                  <c:v>0.27500000000000002</c:v>
                </c:pt>
                <c:pt idx="12">
                  <c:v>0.15</c:v>
                </c:pt>
                <c:pt idx="13">
                  <c:v>0.4</c:v>
                </c:pt>
                <c:pt idx="14">
                  <c:v>0.5</c:v>
                </c:pt>
                <c:pt idx="15">
                  <c:v>0.4</c:v>
                </c:pt>
                <c:pt idx="16">
                  <c:v>0.9</c:v>
                </c:pt>
                <c:pt idx="17">
                  <c:v>1</c:v>
                </c:pt>
                <c:pt idx="18">
                  <c:v>0.8</c:v>
                </c:pt>
                <c:pt idx="19">
                  <c:v>2.5</c:v>
                </c:pt>
                <c:pt idx="20">
                  <c:v>5.5</c:v>
                </c:pt>
                <c:pt idx="21">
                  <c:v>5</c:v>
                </c:pt>
                <c:pt idx="22">
                  <c:v>3.7</c:v>
                </c:pt>
                <c:pt idx="23">
                  <c:v>4.3</c:v>
                </c:pt>
                <c:pt idx="24">
                  <c:v>3.9</c:v>
                </c:pt>
                <c:pt idx="25">
                  <c:v>2.9</c:v>
                </c:pt>
                <c:pt idx="26">
                  <c:v>2</c:v>
                </c:pt>
                <c:pt idx="27">
                  <c:v>0.75</c:v>
                </c:pt>
                <c:pt idx="28">
                  <c:v>2.2999999999999998</c:v>
                </c:pt>
                <c:pt idx="29">
                  <c:v>2.6</c:v>
                </c:pt>
                <c:pt idx="30">
                  <c:v>3.4</c:v>
                </c:pt>
                <c:pt idx="31">
                  <c:v>4.2</c:v>
                </c:pt>
                <c:pt idx="32">
                  <c:v>4.6500000000000004</c:v>
                </c:pt>
                <c:pt idx="33">
                  <c:v>4.5</c:v>
                </c:pt>
                <c:pt idx="34">
                  <c:v>4.5</c:v>
                </c:pt>
                <c:pt idx="35">
                  <c:v>4.5</c:v>
                </c:pt>
                <c:pt idx="36">
                  <c:v>4.4000000000000004</c:v>
                </c:pt>
                <c:pt idx="37">
                  <c:v>4.4000000000000004</c:v>
                </c:pt>
                <c:pt idx="38">
                  <c:v>2.1</c:v>
                </c:pt>
                <c:pt idx="39">
                  <c:v>3.4</c:v>
                </c:pt>
                <c:pt idx="40">
                  <c:v>3.4</c:v>
                </c:pt>
                <c:pt idx="41">
                  <c:v>3.5</c:v>
                </c:pt>
                <c:pt idx="42">
                  <c:v>2.6</c:v>
                </c:pt>
                <c:pt idx="43">
                  <c:v>5</c:v>
                </c:pt>
                <c:pt idx="44">
                  <c:v>9</c:v>
                </c:pt>
                <c:pt idx="45">
                  <c:v>11.1</c:v>
                </c:pt>
                <c:pt idx="46">
                  <c:v>8.3000000000000007</c:v>
                </c:pt>
                <c:pt idx="47">
                  <c:v>4.3</c:v>
                </c:pt>
                <c:pt idx="48">
                  <c:v>1.95</c:v>
                </c:pt>
                <c:pt idx="49">
                  <c:v>2.2000000000000002</c:v>
                </c:pt>
                <c:pt idx="50">
                  <c:v>2.1</c:v>
                </c:pt>
                <c:pt idx="51">
                  <c:v>3.1</c:v>
                </c:pt>
                <c:pt idx="52">
                  <c:v>3.4</c:v>
                </c:pt>
                <c:pt idx="53">
                  <c:v>2.2999999999999998</c:v>
                </c:pt>
                <c:pt idx="54">
                  <c:v>2</c:v>
                </c:pt>
                <c:pt idx="55">
                  <c:v>18.5</c:v>
                </c:pt>
                <c:pt idx="56">
                  <c:v>23.7</c:v>
                </c:pt>
                <c:pt idx="57">
                  <c:v>10</c:v>
                </c:pt>
                <c:pt idx="58">
                  <c:v>2.1</c:v>
                </c:pt>
                <c:pt idx="59">
                  <c:v>4.4000000000000004</c:v>
                </c:pt>
                <c:pt idx="60">
                  <c:v>2.2999999999999998</c:v>
                </c:pt>
                <c:pt idx="61">
                  <c:v>4</c:v>
                </c:pt>
                <c:pt idx="62">
                  <c:v>5</c:v>
                </c:pt>
                <c:pt idx="63">
                  <c:v>9.6999999999999993</c:v>
                </c:pt>
                <c:pt idx="64">
                  <c:v>14.5</c:v>
                </c:pt>
                <c:pt idx="65">
                  <c:v>15.25</c:v>
                </c:pt>
                <c:pt idx="66">
                  <c:v>15.5</c:v>
                </c:pt>
                <c:pt idx="67">
                  <c:v>23</c:v>
                </c:pt>
                <c:pt idx="68">
                  <c:v>28</c:v>
                </c:pt>
              </c:numCache>
            </c:numRef>
          </c:val>
          <c:smooth val="0"/>
          <c:extLst xmlns:c16r2="http://schemas.microsoft.com/office/drawing/2015/06/chart">
            <c:ext xmlns:c16="http://schemas.microsoft.com/office/drawing/2014/chart" uri="{C3380CC4-5D6E-409C-BE32-E72D297353CC}">
              <c16:uniqueId val="{00000002-1118-434F-8EF3-B343086F6295}"/>
            </c:ext>
          </c:extLst>
        </c:ser>
        <c:dLbls>
          <c:showLegendKey val="0"/>
          <c:showVal val="0"/>
          <c:showCatName val="0"/>
          <c:showSerName val="0"/>
          <c:showPercent val="0"/>
          <c:showBubbleSize val="0"/>
        </c:dLbls>
        <c:marker val="1"/>
        <c:smooth val="0"/>
        <c:axId val="272630912"/>
        <c:axId val="272624640"/>
      </c:lineChart>
      <c:catAx>
        <c:axId val="27257958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72622720"/>
        <c:crosses val="autoZero"/>
        <c:auto val="1"/>
        <c:lblAlgn val="ctr"/>
        <c:lblOffset val="100"/>
        <c:noMultiLvlLbl val="0"/>
      </c:catAx>
      <c:valAx>
        <c:axId val="272622720"/>
        <c:scaling>
          <c:orientation val="minMax"/>
        </c:scaling>
        <c:delete val="0"/>
        <c:axPos val="l"/>
        <c:majorGridlines/>
        <c:title>
          <c:tx>
            <c:rich>
              <a:bodyPr rot="-5400000" vert="horz"/>
              <a:lstStyle/>
              <a:p>
                <a:pPr>
                  <a:defRPr/>
                </a:pPr>
                <a:r>
                  <a:rPr lang="en-US"/>
                  <a:t>City Population (thousands)</a:t>
                </a:r>
              </a:p>
            </c:rich>
          </c:tx>
          <c:overlay val="0"/>
        </c:title>
        <c:numFmt formatCode="General" sourceLinked="1"/>
        <c:majorTickMark val="out"/>
        <c:minorTickMark val="none"/>
        <c:tickLblPos val="nextTo"/>
        <c:crossAx val="272579584"/>
        <c:crosses val="autoZero"/>
        <c:crossBetween val="between"/>
      </c:valAx>
      <c:valAx>
        <c:axId val="272624640"/>
        <c:scaling>
          <c:orientation val="minMax"/>
        </c:scaling>
        <c:delete val="0"/>
        <c:axPos val="r"/>
        <c:title>
          <c:tx>
            <c:rich>
              <a:bodyPr rot="-5400000" vert="horz"/>
              <a:lstStyle/>
              <a:p>
                <a:pPr>
                  <a:defRPr/>
                </a:pPr>
                <a:r>
                  <a:rPr lang="en-US"/>
                  <a:t>Territorial Size of Largest Polity (sq. megameters)</a:t>
                </a:r>
              </a:p>
            </c:rich>
          </c:tx>
          <c:overlay val="0"/>
        </c:title>
        <c:numFmt formatCode="General" sourceLinked="1"/>
        <c:majorTickMark val="out"/>
        <c:minorTickMark val="none"/>
        <c:tickLblPos val="nextTo"/>
        <c:crossAx val="272630912"/>
        <c:crosses val="max"/>
        <c:crossBetween val="between"/>
      </c:valAx>
      <c:catAx>
        <c:axId val="272630912"/>
        <c:scaling>
          <c:orientation val="minMax"/>
        </c:scaling>
        <c:delete val="1"/>
        <c:axPos val="b"/>
        <c:numFmt formatCode="General" sourceLinked="1"/>
        <c:majorTickMark val="out"/>
        <c:minorTickMark val="none"/>
        <c:tickLblPos val="nextTo"/>
        <c:crossAx val="272624640"/>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98FA6-5EE7-4294-BB64-9E11886F7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10798</Words>
  <Characters>61551</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Title:</vt:lpstr>
    </vt:vector>
  </TitlesOfParts>
  <Company>Hewlett-Packard Company</Company>
  <LinksUpToDate>false</LinksUpToDate>
  <CharactersWithSpaces>72205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Hiroko Inoue</dc:creator>
  <cp:lastModifiedBy>chriscd</cp:lastModifiedBy>
  <cp:revision>16</cp:revision>
  <cp:lastPrinted>2016-07-05T18:59:00Z</cp:lastPrinted>
  <dcterms:created xsi:type="dcterms:W3CDTF">2016-08-17T17:45:00Z</dcterms:created>
  <dcterms:modified xsi:type="dcterms:W3CDTF">2016-08-17T19:00:00Z</dcterms:modified>
</cp:coreProperties>
</file>